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54" w:rsidRDefault="00AD2C1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1C8147D01D345E7A31B801DD4860238" style="width:450.75pt;height:293.25pt">
            <v:imagedata r:id="rId8" o:title=""/>
          </v:shape>
        </w:pict>
      </w:r>
    </w:p>
    <w:bookmarkEnd w:id="0"/>
    <w:p w:rsidR="00897D54" w:rsidRDefault="00897D54">
      <w:pPr>
        <w:rPr>
          <w:noProof/>
        </w:rPr>
        <w:sectPr w:rsidR="00897D5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2"/>
          <w:cols w:space="720"/>
          <w:docGrid w:linePitch="360"/>
        </w:sectPr>
      </w:pPr>
    </w:p>
    <w:p w:rsidR="00897D54" w:rsidRDefault="00E84B56">
      <w:pPr>
        <w:pStyle w:val="TOCHeading"/>
        <w:rPr>
          <w:noProof/>
        </w:rPr>
      </w:pPr>
      <w:r>
        <w:rPr>
          <w:noProof/>
        </w:rPr>
        <w:t>TABLE DES MATIÈRES</w:t>
      </w:r>
    </w:p>
    <w:p w:rsidR="00897D54" w:rsidRDefault="00897D54">
      <w:pPr>
        <w:pStyle w:val="TOC1"/>
        <w:rPr>
          <w:noProof/>
        </w:rPr>
      </w:pPr>
    </w:p>
    <w:p w:rsidR="00897D54" w:rsidRDefault="00E84B56">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85024045"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Introduction</w:t>
        </w:r>
        <w:r>
          <w:rPr>
            <w:noProof/>
            <w:webHidden/>
          </w:rPr>
          <w:tab/>
        </w:r>
        <w:r>
          <w:rPr>
            <w:noProof/>
            <w:webHidden/>
          </w:rPr>
          <w:fldChar w:fldCharType="begin"/>
        </w:r>
        <w:r>
          <w:rPr>
            <w:noProof/>
            <w:webHidden/>
          </w:rPr>
          <w:instrText xml:space="preserve"> PAGEREF _Toc485024045 \h </w:instrText>
        </w:r>
        <w:r>
          <w:rPr>
            <w:noProof/>
            <w:webHidden/>
          </w:rPr>
        </w:r>
        <w:r>
          <w:rPr>
            <w:noProof/>
            <w:webHidden/>
          </w:rPr>
          <w:fldChar w:fldCharType="separate"/>
        </w:r>
        <w:r>
          <w:rPr>
            <w:noProof/>
            <w:webHidden/>
          </w:rPr>
          <w:t>3</w:t>
        </w:r>
        <w:r>
          <w:rPr>
            <w:noProof/>
            <w:webHidden/>
          </w:rPr>
          <w:fldChar w:fldCharType="end"/>
        </w:r>
      </w:hyperlink>
    </w:p>
    <w:p w:rsidR="00897D54" w:rsidRDefault="00AD2C1F">
      <w:pPr>
        <w:pStyle w:val="TOC1"/>
        <w:rPr>
          <w:rFonts w:asciiTheme="minorHAnsi" w:eastAsiaTheme="minorEastAsia" w:hAnsiTheme="minorHAnsi" w:cstheme="minorBidi"/>
          <w:noProof/>
          <w:sz w:val="22"/>
          <w:szCs w:val="22"/>
          <w:lang w:val="en-GB" w:eastAsia="en-GB" w:bidi="ar-SA"/>
        </w:rPr>
      </w:pPr>
      <w:hyperlink w:anchor="_Toc485024046" w:history="1">
        <w:r w:rsidR="00E84B56">
          <w:rPr>
            <w:rStyle w:val="Hyperlink"/>
            <w:noProof/>
          </w:rPr>
          <w:t>2.</w:t>
        </w:r>
        <w:r w:rsidR="00E84B56">
          <w:rPr>
            <w:rFonts w:asciiTheme="minorHAnsi" w:eastAsiaTheme="minorEastAsia" w:hAnsiTheme="minorHAnsi" w:cstheme="minorBidi"/>
            <w:noProof/>
            <w:sz w:val="22"/>
            <w:szCs w:val="22"/>
            <w:lang w:val="en-GB" w:eastAsia="en-GB" w:bidi="ar-SA"/>
          </w:rPr>
          <w:tab/>
        </w:r>
        <w:r w:rsidR="00E84B56">
          <w:rPr>
            <w:rStyle w:val="Hyperlink"/>
            <w:noProof/>
          </w:rPr>
          <w:t>Évolution du nombre d’agents contractuels depuis 2004 au sein de la Commission</w:t>
        </w:r>
        <w:r w:rsidR="00E84B56">
          <w:rPr>
            <w:noProof/>
            <w:webHidden/>
          </w:rPr>
          <w:tab/>
        </w:r>
        <w:r w:rsidR="00E84B56">
          <w:rPr>
            <w:noProof/>
            <w:webHidden/>
          </w:rPr>
          <w:fldChar w:fldCharType="begin"/>
        </w:r>
        <w:r w:rsidR="00E84B56">
          <w:rPr>
            <w:noProof/>
            <w:webHidden/>
          </w:rPr>
          <w:instrText xml:space="preserve"> PAGEREF _Toc485024046 \h </w:instrText>
        </w:r>
        <w:r w:rsidR="00E84B56">
          <w:rPr>
            <w:noProof/>
            <w:webHidden/>
          </w:rPr>
        </w:r>
        <w:r w:rsidR="00E84B56">
          <w:rPr>
            <w:noProof/>
            <w:webHidden/>
          </w:rPr>
          <w:fldChar w:fldCharType="separate"/>
        </w:r>
        <w:r w:rsidR="00E84B56">
          <w:rPr>
            <w:noProof/>
            <w:webHidden/>
          </w:rPr>
          <w:t>5</w:t>
        </w:r>
        <w:r w:rsidR="00E84B56">
          <w:rPr>
            <w:noProof/>
            <w:webHidden/>
          </w:rPr>
          <w:fldChar w:fldCharType="end"/>
        </w:r>
      </w:hyperlink>
    </w:p>
    <w:p w:rsidR="00897D54" w:rsidRDefault="00AD2C1F">
      <w:pPr>
        <w:pStyle w:val="TOC1"/>
        <w:rPr>
          <w:rFonts w:asciiTheme="minorHAnsi" w:eastAsiaTheme="minorEastAsia" w:hAnsiTheme="minorHAnsi" w:cstheme="minorBidi"/>
          <w:noProof/>
          <w:sz w:val="22"/>
          <w:szCs w:val="22"/>
          <w:lang w:val="en-GB" w:eastAsia="en-GB" w:bidi="ar-SA"/>
        </w:rPr>
      </w:pPr>
      <w:hyperlink w:anchor="_Toc485024047" w:history="1">
        <w:r w:rsidR="00E84B56">
          <w:rPr>
            <w:rStyle w:val="Hyperlink"/>
            <w:noProof/>
          </w:rPr>
          <w:t>3.</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de la Commission par genre et par groupe de fonctions</w:t>
        </w:r>
        <w:r w:rsidR="00E84B56">
          <w:rPr>
            <w:noProof/>
            <w:webHidden/>
          </w:rPr>
          <w:tab/>
        </w:r>
        <w:r w:rsidR="00E84B56">
          <w:rPr>
            <w:noProof/>
            <w:webHidden/>
          </w:rPr>
          <w:fldChar w:fldCharType="begin"/>
        </w:r>
        <w:r w:rsidR="00E84B56">
          <w:rPr>
            <w:noProof/>
            <w:webHidden/>
          </w:rPr>
          <w:instrText xml:space="preserve"> PAGEREF _Toc485024047 \h </w:instrText>
        </w:r>
        <w:r w:rsidR="00E84B56">
          <w:rPr>
            <w:noProof/>
            <w:webHidden/>
          </w:rPr>
        </w:r>
        <w:r w:rsidR="00E84B56">
          <w:rPr>
            <w:noProof/>
            <w:webHidden/>
          </w:rPr>
          <w:fldChar w:fldCharType="separate"/>
        </w:r>
        <w:r w:rsidR="00E84B56">
          <w:rPr>
            <w:noProof/>
            <w:webHidden/>
          </w:rPr>
          <w:t>7</w:t>
        </w:r>
        <w:r w:rsidR="00E84B56">
          <w:rPr>
            <w:noProof/>
            <w:webHidden/>
          </w:rPr>
          <w:fldChar w:fldCharType="end"/>
        </w:r>
      </w:hyperlink>
    </w:p>
    <w:p w:rsidR="00897D54" w:rsidRDefault="00AD2C1F">
      <w:pPr>
        <w:pStyle w:val="TOC1"/>
        <w:rPr>
          <w:rFonts w:asciiTheme="minorHAnsi" w:eastAsiaTheme="minorEastAsia" w:hAnsiTheme="minorHAnsi" w:cstheme="minorBidi"/>
          <w:noProof/>
          <w:sz w:val="22"/>
          <w:szCs w:val="22"/>
          <w:lang w:val="en-GB" w:eastAsia="en-GB" w:bidi="ar-SA"/>
        </w:rPr>
      </w:pPr>
      <w:hyperlink w:anchor="_Toc485024048" w:history="1">
        <w:r w:rsidR="00E84B56">
          <w:rPr>
            <w:rStyle w:val="Hyperlink"/>
            <w:noProof/>
          </w:rPr>
          <w:t>4.</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de la Commission par nationalité</w:t>
        </w:r>
        <w:r w:rsidR="00E84B56">
          <w:rPr>
            <w:noProof/>
            <w:webHidden/>
          </w:rPr>
          <w:tab/>
        </w:r>
        <w:r w:rsidR="00E84B56">
          <w:rPr>
            <w:noProof/>
            <w:webHidden/>
          </w:rPr>
          <w:fldChar w:fldCharType="begin"/>
        </w:r>
        <w:r w:rsidR="00E84B56">
          <w:rPr>
            <w:noProof/>
            <w:webHidden/>
          </w:rPr>
          <w:instrText xml:space="preserve"> PAGEREF _Toc485024048 \h </w:instrText>
        </w:r>
        <w:r w:rsidR="00E84B56">
          <w:rPr>
            <w:noProof/>
            <w:webHidden/>
          </w:rPr>
        </w:r>
        <w:r w:rsidR="00E84B56">
          <w:rPr>
            <w:noProof/>
            <w:webHidden/>
          </w:rPr>
          <w:fldChar w:fldCharType="separate"/>
        </w:r>
        <w:r w:rsidR="00E84B56">
          <w:rPr>
            <w:noProof/>
            <w:webHidden/>
          </w:rPr>
          <w:t>9</w:t>
        </w:r>
        <w:r w:rsidR="00E84B56">
          <w:rPr>
            <w:noProof/>
            <w:webHidden/>
          </w:rPr>
          <w:fldChar w:fldCharType="end"/>
        </w:r>
      </w:hyperlink>
    </w:p>
    <w:p w:rsidR="00897D54" w:rsidRDefault="00AD2C1F">
      <w:pPr>
        <w:pStyle w:val="TOC1"/>
        <w:rPr>
          <w:rFonts w:asciiTheme="minorHAnsi" w:eastAsiaTheme="minorEastAsia" w:hAnsiTheme="minorHAnsi" w:cstheme="minorBidi"/>
          <w:noProof/>
          <w:sz w:val="22"/>
          <w:szCs w:val="22"/>
          <w:lang w:val="en-GB" w:eastAsia="en-GB" w:bidi="ar-SA"/>
        </w:rPr>
      </w:pPr>
      <w:hyperlink w:anchor="_Toc485024049" w:history="1">
        <w:r w:rsidR="00E84B56">
          <w:rPr>
            <w:rStyle w:val="Hyperlink"/>
            <w:noProof/>
          </w:rPr>
          <w:t>5.</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de la Commission par DG</w:t>
        </w:r>
        <w:r w:rsidR="00E84B56">
          <w:rPr>
            <w:noProof/>
            <w:webHidden/>
          </w:rPr>
          <w:tab/>
        </w:r>
        <w:r w:rsidR="00E84B56">
          <w:rPr>
            <w:noProof/>
            <w:webHidden/>
          </w:rPr>
          <w:fldChar w:fldCharType="begin"/>
        </w:r>
        <w:r w:rsidR="00E84B56">
          <w:rPr>
            <w:noProof/>
            <w:webHidden/>
          </w:rPr>
          <w:instrText xml:space="preserve"> PAGEREF _Toc485024049 \h </w:instrText>
        </w:r>
        <w:r w:rsidR="00E84B56">
          <w:rPr>
            <w:noProof/>
            <w:webHidden/>
          </w:rPr>
        </w:r>
        <w:r w:rsidR="00E84B56">
          <w:rPr>
            <w:noProof/>
            <w:webHidden/>
          </w:rPr>
          <w:fldChar w:fldCharType="separate"/>
        </w:r>
        <w:r w:rsidR="00E84B56">
          <w:rPr>
            <w:noProof/>
            <w:webHidden/>
          </w:rPr>
          <w:t>15</w:t>
        </w:r>
        <w:r w:rsidR="00E84B56">
          <w:rPr>
            <w:noProof/>
            <w:webHidden/>
          </w:rPr>
          <w:fldChar w:fldCharType="end"/>
        </w:r>
      </w:hyperlink>
    </w:p>
    <w:p w:rsidR="00897D54" w:rsidRDefault="00AD2C1F">
      <w:pPr>
        <w:pStyle w:val="TOC2"/>
        <w:rPr>
          <w:rFonts w:asciiTheme="minorHAnsi" w:eastAsiaTheme="minorEastAsia" w:hAnsiTheme="minorHAnsi" w:cstheme="minorBidi"/>
          <w:noProof/>
          <w:sz w:val="22"/>
          <w:szCs w:val="22"/>
          <w:lang w:val="en-GB" w:eastAsia="en-GB" w:bidi="ar-SA"/>
        </w:rPr>
      </w:pPr>
      <w:hyperlink w:anchor="_Toc485024050" w:history="1">
        <w:r w:rsidR="00E84B56">
          <w:rPr>
            <w:rStyle w:val="Hyperlink"/>
            <w:noProof/>
          </w:rPr>
          <w:t>5.1.</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genre et par DG</w:t>
        </w:r>
        <w:r w:rsidR="00E84B56">
          <w:rPr>
            <w:noProof/>
            <w:webHidden/>
          </w:rPr>
          <w:tab/>
        </w:r>
        <w:r w:rsidR="00E84B56">
          <w:rPr>
            <w:noProof/>
            <w:webHidden/>
          </w:rPr>
          <w:fldChar w:fldCharType="begin"/>
        </w:r>
        <w:r w:rsidR="00E84B56">
          <w:rPr>
            <w:noProof/>
            <w:webHidden/>
          </w:rPr>
          <w:instrText xml:space="preserve"> PAGEREF _Toc485024050 \h </w:instrText>
        </w:r>
        <w:r w:rsidR="00E84B56">
          <w:rPr>
            <w:noProof/>
            <w:webHidden/>
          </w:rPr>
        </w:r>
        <w:r w:rsidR="00E84B56">
          <w:rPr>
            <w:noProof/>
            <w:webHidden/>
          </w:rPr>
          <w:fldChar w:fldCharType="separate"/>
        </w:r>
        <w:r w:rsidR="00E84B56">
          <w:rPr>
            <w:noProof/>
            <w:webHidden/>
          </w:rPr>
          <w:t>15</w:t>
        </w:r>
        <w:r w:rsidR="00E84B56">
          <w:rPr>
            <w:noProof/>
            <w:webHidden/>
          </w:rPr>
          <w:fldChar w:fldCharType="end"/>
        </w:r>
      </w:hyperlink>
    </w:p>
    <w:p w:rsidR="00897D54" w:rsidRDefault="00AD2C1F">
      <w:pPr>
        <w:pStyle w:val="TOC2"/>
        <w:rPr>
          <w:rFonts w:asciiTheme="minorHAnsi" w:eastAsiaTheme="minorEastAsia" w:hAnsiTheme="minorHAnsi" w:cstheme="minorBidi"/>
          <w:noProof/>
          <w:sz w:val="22"/>
          <w:szCs w:val="22"/>
          <w:lang w:val="en-GB" w:eastAsia="en-GB" w:bidi="ar-SA"/>
        </w:rPr>
      </w:pPr>
      <w:hyperlink w:anchor="_Toc485024051" w:history="1">
        <w:r w:rsidR="00E84B56">
          <w:rPr>
            <w:rStyle w:val="Hyperlink"/>
            <w:noProof/>
          </w:rPr>
          <w:t>5.2.</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type de contrat</w:t>
        </w:r>
        <w:r w:rsidR="00E84B56">
          <w:rPr>
            <w:noProof/>
            <w:webHidden/>
          </w:rPr>
          <w:tab/>
        </w:r>
        <w:r w:rsidR="00E84B56">
          <w:rPr>
            <w:noProof/>
            <w:webHidden/>
          </w:rPr>
          <w:fldChar w:fldCharType="begin"/>
        </w:r>
        <w:r w:rsidR="00E84B56">
          <w:rPr>
            <w:noProof/>
            <w:webHidden/>
          </w:rPr>
          <w:instrText xml:space="preserve"> PAGEREF _Toc485024051 \h </w:instrText>
        </w:r>
        <w:r w:rsidR="00E84B56">
          <w:rPr>
            <w:noProof/>
            <w:webHidden/>
          </w:rPr>
        </w:r>
        <w:r w:rsidR="00E84B56">
          <w:rPr>
            <w:noProof/>
            <w:webHidden/>
          </w:rPr>
          <w:fldChar w:fldCharType="separate"/>
        </w:r>
        <w:r w:rsidR="00E84B56">
          <w:rPr>
            <w:noProof/>
            <w:webHidden/>
          </w:rPr>
          <w:t>17</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52" w:history="1">
        <w:r w:rsidR="00E84B56">
          <w:rPr>
            <w:rStyle w:val="Hyperlink"/>
            <w:noProof/>
          </w:rPr>
          <w:t>5.2.1</w:t>
        </w:r>
        <w:r w:rsidR="00E84B56">
          <w:rPr>
            <w:rFonts w:asciiTheme="minorHAnsi" w:eastAsiaTheme="minorEastAsia" w:hAnsiTheme="minorHAnsi" w:cstheme="minorBidi"/>
            <w:noProof/>
            <w:sz w:val="22"/>
            <w:szCs w:val="22"/>
            <w:lang w:val="en-GB" w:eastAsia="en-GB" w:bidi="ar-SA"/>
          </w:rPr>
          <w:tab/>
        </w:r>
        <w:r w:rsidR="00E84B56">
          <w:rPr>
            <w:rStyle w:val="Hyperlink"/>
            <w:noProof/>
          </w:rPr>
          <w:t>Agents contractuels 3 bis</w:t>
        </w:r>
        <w:r w:rsidR="00E84B56">
          <w:rPr>
            <w:noProof/>
            <w:webHidden/>
          </w:rPr>
          <w:tab/>
        </w:r>
        <w:r w:rsidR="00E84B56">
          <w:rPr>
            <w:noProof/>
            <w:webHidden/>
          </w:rPr>
          <w:fldChar w:fldCharType="begin"/>
        </w:r>
        <w:r w:rsidR="00E84B56">
          <w:rPr>
            <w:noProof/>
            <w:webHidden/>
          </w:rPr>
          <w:instrText xml:space="preserve"> PAGEREF _Toc485024052 \h </w:instrText>
        </w:r>
        <w:r w:rsidR="00E84B56">
          <w:rPr>
            <w:noProof/>
            <w:webHidden/>
          </w:rPr>
        </w:r>
        <w:r w:rsidR="00E84B56">
          <w:rPr>
            <w:noProof/>
            <w:webHidden/>
          </w:rPr>
          <w:fldChar w:fldCharType="separate"/>
        </w:r>
        <w:r w:rsidR="00E84B56">
          <w:rPr>
            <w:noProof/>
            <w:webHidden/>
          </w:rPr>
          <w:t>17</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53" w:history="1">
        <w:r w:rsidR="00E84B56">
          <w:rPr>
            <w:rStyle w:val="Hyperlink"/>
            <w:noProof/>
          </w:rPr>
          <w:t>5.2.2</w:t>
        </w:r>
        <w:r w:rsidR="00E84B56">
          <w:rPr>
            <w:rFonts w:asciiTheme="minorHAnsi" w:eastAsiaTheme="minorEastAsia" w:hAnsiTheme="minorHAnsi" w:cstheme="minorBidi"/>
            <w:noProof/>
            <w:sz w:val="22"/>
            <w:szCs w:val="22"/>
            <w:lang w:val="en-GB" w:eastAsia="en-GB" w:bidi="ar-SA"/>
          </w:rPr>
          <w:tab/>
        </w:r>
        <w:r w:rsidR="00E84B56">
          <w:rPr>
            <w:rStyle w:val="Hyperlink"/>
            <w:noProof/>
          </w:rPr>
          <w:t>Agents contractuels 3 ter</w:t>
        </w:r>
        <w:r w:rsidR="00E84B56">
          <w:rPr>
            <w:noProof/>
            <w:webHidden/>
          </w:rPr>
          <w:tab/>
        </w:r>
        <w:r w:rsidR="00E84B56">
          <w:rPr>
            <w:noProof/>
            <w:webHidden/>
          </w:rPr>
          <w:fldChar w:fldCharType="begin"/>
        </w:r>
        <w:r w:rsidR="00E84B56">
          <w:rPr>
            <w:noProof/>
            <w:webHidden/>
          </w:rPr>
          <w:instrText xml:space="preserve"> PAGEREF _Toc485024053 \h </w:instrText>
        </w:r>
        <w:r w:rsidR="00E84B56">
          <w:rPr>
            <w:noProof/>
            <w:webHidden/>
          </w:rPr>
        </w:r>
        <w:r w:rsidR="00E84B56">
          <w:rPr>
            <w:noProof/>
            <w:webHidden/>
          </w:rPr>
          <w:fldChar w:fldCharType="separate"/>
        </w:r>
        <w:r w:rsidR="00E84B56">
          <w:rPr>
            <w:noProof/>
            <w:webHidden/>
          </w:rPr>
          <w:t>18</w:t>
        </w:r>
        <w:r w:rsidR="00E84B56">
          <w:rPr>
            <w:noProof/>
            <w:webHidden/>
          </w:rPr>
          <w:fldChar w:fldCharType="end"/>
        </w:r>
      </w:hyperlink>
    </w:p>
    <w:p w:rsidR="00897D54" w:rsidRDefault="00AD2C1F">
      <w:pPr>
        <w:pStyle w:val="TOC1"/>
        <w:rPr>
          <w:rFonts w:asciiTheme="minorHAnsi" w:eastAsiaTheme="minorEastAsia" w:hAnsiTheme="minorHAnsi" w:cstheme="minorBidi"/>
          <w:noProof/>
          <w:sz w:val="22"/>
          <w:szCs w:val="22"/>
          <w:lang w:val="en-GB" w:eastAsia="en-GB" w:bidi="ar-SA"/>
        </w:rPr>
      </w:pPr>
      <w:hyperlink w:anchor="_Toc485024054" w:history="1">
        <w:r w:rsidR="00E84B56">
          <w:rPr>
            <w:rStyle w:val="Hyperlink"/>
            <w:noProof/>
          </w:rPr>
          <w:t>6.</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entre les autres institutions et les agences</w:t>
        </w:r>
        <w:r w:rsidR="00E84B56">
          <w:rPr>
            <w:noProof/>
            <w:webHidden/>
          </w:rPr>
          <w:tab/>
        </w:r>
        <w:r w:rsidR="00E84B56">
          <w:rPr>
            <w:noProof/>
            <w:webHidden/>
          </w:rPr>
          <w:fldChar w:fldCharType="begin"/>
        </w:r>
        <w:r w:rsidR="00E84B56">
          <w:rPr>
            <w:noProof/>
            <w:webHidden/>
          </w:rPr>
          <w:instrText xml:space="preserve"> PAGEREF _Toc485024054 \h </w:instrText>
        </w:r>
        <w:r w:rsidR="00E84B56">
          <w:rPr>
            <w:noProof/>
            <w:webHidden/>
          </w:rPr>
        </w:r>
        <w:r w:rsidR="00E84B56">
          <w:rPr>
            <w:noProof/>
            <w:webHidden/>
          </w:rPr>
          <w:fldChar w:fldCharType="separate"/>
        </w:r>
        <w:r w:rsidR="00E84B56">
          <w:rPr>
            <w:noProof/>
            <w:webHidden/>
          </w:rPr>
          <w:t>19</w:t>
        </w:r>
        <w:r w:rsidR="00E84B56">
          <w:rPr>
            <w:noProof/>
            <w:webHidden/>
          </w:rPr>
          <w:fldChar w:fldCharType="end"/>
        </w:r>
      </w:hyperlink>
    </w:p>
    <w:p w:rsidR="00897D54" w:rsidRDefault="00AD2C1F">
      <w:pPr>
        <w:pStyle w:val="TOC2"/>
        <w:rPr>
          <w:rFonts w:asciiTheme="minorHAnsi" w:eastAsiaTheme="minorEastAsia" w:hAnsiTheme="minorHAnsi" w:cstheme="minorBidi"/>
          <w:noProof/>
          <w:sz w:val="22"/>
          <w:szCs w:val="22"/>
          <w:lang w:val="en-GB" w:eastAsia="en-GB" w:bidi="ar-SA"/>
        </w:rPr>
      </w:pPr>
      <w:hyperlink w:anchor="_Toc485024055" w:history="1">
        <w:r w:rsidR="00E84B56">
          <w:rPr>
            <w:rStyle w:val="Hyperlink"/>
            <w:noProof/>
          </w:rPr>
          <w:t>6.1.</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dans les autres institutions</w:t>
        </w:r>
        <w:r w:rsidR="00E84B56">
          <w:rPr>
            <w:noProof/>
            <w:webHidden/>
          </w:rPr>
          <w:tab/>
        </w:r>
        <w:r w:rsidR="00E84B56">
          <w:rPr>
            <w:noProof/>
            <w:webHidden/>
          </w:rPr>
          <w:fldChar w:fldCharType="begin"/>
        </w:r>
        <w:r w:rsidR="00E84B56">
          <w:rPr>
            <w:noProof/>
            <w:webHidden/>
          </w:rPr>
          <w:instrText xml:space="preserve"> PAGEREF _Toc485024055 \h </w:instrText>
        </w:r>
        <w:r w:rsidR="00E84B56">
          <w:rPr>
            <w:noProof/>
            <w:webHidden/>
          </w:rPr>
        </w:r>
        <w:r w:rsidR="00E84B56">
          <w:rPr>
            <w:noProof/>
            <w:webHidden/>
          </w:rPr>
          <w:fldChar w:fldCharType="separate"/>
        </w:r>
        <w:r w:rsidR="00E84B56">
          <w:rPr>
            <w:noProof/>
            <w:webHidden/>
          </w:rPr>
          <w:t>20</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56" w:history="1">
        <w:r w:rsidR="00E84B56">
          <w:rPr>
            <w:rStyle w:val="Hyperlink"/>
            <w:noProof/>
          </w:rPr>
          <w:t>6.1.1</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genre et par groupe de fonctions dans les autres institutions</w:t>
        </w:r>
        <w:r w:rsidR="00E84B56">
          <w:rPr>
            <w:noProof/>
            <w:webHidden/>
          </w:rPr>
          <w:tab/>
        </w:r>
        <w:r w:rsidR="00E84B56">
          <w:rPr>
            <w:noProof/>
            <w:webHidden/>
          </w:rPr>
          <w:fldChar w:fldCharType="begin"/>
        </w:r>
        <w:r w:rsidR="00E84B56">
          <w:rPr>
            <w:noProof/>
            <w:webHidden/>
          </w:rPr>
          <w:instrText xml:space="preserve"> PAGEREF _Toc485024056 \h </w:instrText>
        </w:r>
        <w:r w:rsidR="00E84B56">
          <w:rPr>
            <w:noProof/>
            <w:webHidden/>
          </w:rPr>
        </w:r>
        <w:r w:rsidR="00E84B56">
          <w:rPr>
            <w:noProof/>
            <w:webHidden/>
          </w:rPr>
          <w:fldChar w:fldCharType="separate"/>
        </w:r>
        <w:r w:rsidR="00E84B56">
          <w:rPr>
            <w:noProof/>
            <w:webHidden/>
          </w:rPr>
          <w:t>20</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57" w:history="1">
        <w:r w:rsidR="00E84B56">
          <w:rPr>
            <w:rStyle w:val="Hyperlink"/>
            <w:noProof/>
          </w:rPr>
          <w:t>6.1.2</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nationalité dans les autres institutions</w:t>
        </w:r>
        <w:r w:rsidR="00E84B56">
          <w:rPr>
            <w:noProof/>
            <w:webHidden/>
          </w:rPr>
          <w:tab/>
        </w:r>
        <w:r w:rsidR="00E84B56">
          <w:rPr>
            <w:noProof/>
            <w:webHidden/>
          </w:rPr>
          <w:fldChar w:fldCharType="begin"/>
        </w:r>
        <w:r w:rsidR="00E84B56">
          <w:rPr>
            <w:noProof/>
            <w:webHidden/>
          </w:rPr>
          <w:instrText xml:space="preserve"> PAGEREF _Toc485024057 \h </w:instrText>
        </w:r>
        <w:r w:rsidR="00E84B56">
          <w:rPr>
            <w:noProof/>
            <w:webHidden/>
          </w:rPr>
        </w:r>
        <w:r w:rsidR="00E84B56">
          <w:rPr>
            <w:noProof/>
            <w:webHidden/>
          </w:rPr>
          <w:fldChar w:fldCharType="separate"/>
        </w:r>
        <w:r w:rsidR="00E84B56">
          <w:rPr>
            <w:noProof/>
            <w:webHidden/>
          </w:rPr>
          <w:t>21</w:t>
        </w:r>
        <w:r w:rsidR="00E84B56">
          <w:rPr>
            <w:noProof/>
            <w:webHidden/>
          </w:rPr>
          <w:fldChar w:fldCharType="end"/>
        </w:r>
      </w:hyperlink>
    </w:p>
    <w:p w:rsidR="00897D54" w:rsidRDefault="00AD2C1F">
      <w:pPr>
        <w:pStyle w:val="TOC2"/>
        <w:rPr>
          <w:rFonts w:asciiTheme="minorHAnsi" w:eastAsiaTheme="minorEastAsia" w:hAnsiTheme="minorHAnsi" w:cstheme="minorBidi"/>
          <w:noProof/>
          <w:sz w:val="22"/>
          <w:szCs w:val="22"/>
          <w:lang w:val="en-GB" w:eastAsia="en-GB" w:bidi="ar-SA"/>
        </w:rPr>
      </w:pPr>
      <w:hyperlink w:anchor="_Toc485024058" w:history="1">
        <w:r w:rsidR="00E84B56">
          <w:rPr>
            <w:rStyle w:val="Hyperlink"/>
            <w:noProof/>
          </w:rPr>
          <w:t>6.2.</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des agents contractuels dans les agences</w:t>
        </w:r>
        <w:r w:rsidR="00E84B56">
          <w:rPr>
            <w:noProof/>
            <w:webHidden/>
          </w:rPr>
          <w:tab/>
        </w:r>
        <w:r w:rsidR="00E84B56">
          <w:rPr>
            <w:noProof/>
            <w:webHidden/>
          </w:rPr>
          <w:fldChar w:fldCharType="begin"/>
        </w:r>
        <w:r w:rsidR="00E84B56">
          <w:rPr>
            <w:noProof/>
            <w:webHidden/>
          </w:rPr>
          <w:instrText xml:space="preserve"> PAGEREF _Toc485024058 \h </w:instrText>
        </w:r>
        <w:r w:rsidR="00E84B56">
          <w:rPr>
            <w:noProof/>
            <w:webHidden/>
          </w:rPr>
        </w:r>
        <w:r w:rsidR="00E84B56">
          <w:rPr>
            <w:noProof/>
            <w:webHidden/>
          </w:rPr>
          <w:fldChar w:fldCharType="separate"/>
        </w:r>
        <w:r w:rsidR="00E84B56">
          <w:rPr>
            <w:noProof/>
            <w:webHidden/>
          </w:rPr>
          <w:t>22</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59" w:history="1">
        <w:r w:rsidR="00E84B56">
          <w:rPr>
            <w:rStyle w:val="Hyperlink"/>
            <w:noProof/>
          </w:rPr>
          <w:t>6.2.1</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genre et par groupe de fonctions dans les agences</w:t>
        </w:r>
        <w:r w:rsidR="00E84B56">
          <w:rPr>
            <w:noProof/>
            <w:webHidden/>
          </w:rPr>
          <w:tab/>
        </w:r>
        <w:r w:rsidR="00E84B56">
          <w:rPr>
            <w:noProof/>
            <w:webHidden/>
          </w:rPr>
          <w:fldChar w:fldCharType="begin"/>
        </w:r>
        <w:r w:rsidR="00E84B56">
          <w:rPr>
            <w:noProof/>
            <w:webHidden/>
          </w:rPr>
          <w:instrText xml:space="preserve"> PAGEREF _Toc485024059 \h </w:instrText>
        </w:r>
        <w:r w:rsidR="00E84B56">
          <w:rPr>
            <w:noProof/>
            <w:webHidden/>
          </w:rPr>
        </w:r>
        <w:r w:rsidR="00E84B56">
          <w:rPr>
            <w:noProof/>
            <w:webHidden/>
          </w:rPr>
          <w:fldChar w:fldCharType="separate"/>
        </w:r>
        <w:r w:rsidR="00E84B56">
          <w:rPr>
            <w:noProof/>
            <w:webHidden/>
          </w:rPr>
          <w:t>23</w:t>
        </w:r>
        <w:r w:rsidR="00E84B56">
          <w:rPr>
            <w:noProof/>
            <w:webHidden/>
          </w:rPr>
          <w:fldChar w:fldCharType="end"/>
        </w:r>
      </w:hyperlink>
    </w:p>
    <w:p w:rsidR="00897D54" w:rsidRDefault="00AD2C1F">
      <w:pPr>
        <w:pStyle w:val="TOC3"/>
        <w:rPr>
          <w:rFonts w:asciiTheme="minorHAnsi" w:eastAsiaTheme="minorEastAsia" w:hAnsiTheme="minorHAnsi" w:cstheme="minorBidi"/>
          <w:noProof/>
          <w:sz w:val="22"/>
          <w:szCs w:val="22"/>
          <w:lang w:val="en-GB" w:eastAsia="en-GB" w:bidi="ar-SA"/>
        </w:rPr>
      </w:pPr>
      <w:hyperlink w:anchor="_Toc485024060" w:history="1">
        <w:r w:rsidR="00E84B56">
          <w:rPr>
            <w:rStyle w:val="Hyperlink"/>
            <w:noProof/>
          </w:rPr>
          <w:t>6.2.2</w:t>
        </w:r>
        <w:r w:rsidR="00E84B56">
          <w:rPr>
            <w:rFonts w:asciiTheme="minorHAnsi" w:eastAsiaTheme="minorEastAsia" w:hAnsiTheme="minorHAnsi" w:cstheme="minorBidi"/>
            <w:noProof/>
            <w:sz w:val="22"/>
            <w:szCs w:val="22"/>
            <w:lang w:val="en-GB" w:eastAsia="en-GB" w:bidi="ar-SA"/>
          </w:rPr>
          <w:tab/>
        </w:r>
        <w:r w:rsidR="00E84B56">
          <w:rPr>
            <w:rStyle w:val="Hyperlink"/>
            <w:noProof/>
          </w:rPr>
          <w:t>Répartition par nationalité dans les agences</w:t>
        </w:r>
        <w:r w:rsidR="00E84B56">
          <w:rPr>
            <w:noProof/>
            <w:webHidden/>
          </w:rPr>
          <w:tab/>
        </w:r>
        <w:r w:rsidR="00E84B56">
          <w:rPr>
            <w:noProof/>
            <w:webHidden/>
          </w:rPr>
          <w:fldChar w:fldCharType="begin"/>
        </w:r>
        <w:r w:rsidR="00E84B56">
          <w:rPr>
            <w:noProof/>
            <w:webHidden/>
          </w:rPr>
          <w:instrText xml:space="preserve"> PAGEREF _Toc485024060 \h </w:instrText>
        </w:r>
        <w:r w:rsidR="00E84B56">
          <w:rPr>
            <w:noProof/>
            <w:webHidden/>
          </w:rPr>
        </w:r>
        <w:r w:rsidR="00E84B56">
          <w:rPr>
            <w:noProof/>
            <w:webHidden/>
          </w:rPr>
          <w:fldChar w:fldCharType="separate"/>
        </w:r>
        <w:r w:rsidR="00E84B56">
          <w:rPr>
            <w:noProof/>
            <w:webHidden/>
          </w:rPr>
          <w:t>25</w:t>
        </w:r>
        <w:r w:rsidR="00E84B56">
          <w:rPr>
            <w:noProof/>
            <w:webHidden/>
          </w:rPr>
          <w:fldChar w:fldCharType="end"/>
        </w:r>
      </w:hyperlink>
    </w:p>
    <w:p w:rsidR="00897D54" w:rsidRDefault="00E84B56">
      <w:pPr>
        <w:pStyle w:val="TOC1"/>
        <w:rPr>
          <w:rFonts w:asciiTheme="minorHAnsi" w:eastAsiaTheme="minorEastAsia" w:hAnsiTheme="minorHAnsi" w:cstheme="minorBidi"/>
          <w:noProof/>
          <w:sz w:val="22"/>
          <w:szCs w:val="28"/>
        </w:rPr>
      </w:pPr>
      <w:r>
        <w:rPr>
          <w:b/>
          <w:bCs/>
          <w:noProof/>
        </w:rPr>
        <w:fldChar w:fldCharType="end"/>
      </w:r>
    </w:p>
    <w:p w:rsidR="00897D54" w:rsidRDefault="00897D54">
      <w:pPr>
        <w:rPr>
          <w:noProof/>
        </w:rPr>
        <w:sectPr w:rsidR="00897D54">
          <w:headerReference w:type="even" r:id="rId15"/>
          <w:headerReference w:type="default" r:id="rId16"/>
          <w:footerReference w:type="even" r:id="rId17"/>
          <w:footerReference w:type="default" r:id="rId18"/>
          <w:headerReference w:type="first" r:id="rId19"/>
          <w:footerReference w:type="first" r:id="rId20"/>
          <w:pgSz w:w="11907" w:h="16839"/>
          <w:pgMar w:top="851" w:right="1417" w:bottom="851" w:left="1417" w:header="709" w:footer="709" w:gutter="0"/>
          <w:pgNumType w:start="2"/>
          <w:cols w:space="720"/>
          <w:docGrid w:linePitch="360"/>
        </w:sectPr>
      </w:pPr>
    </w:p>
    <w:p w:rsidR="00897D54" w:rsidRDefault="00E84B56">
      <w:pPr>
        <w:pStyle w:val="ManualHeading1"/>
        <w:rPr>
          <w:noProof/>
        </w:rPr>
      </w:pPr>
      <w:bookmarkStart w:id="1" w:name="_Toc306183901"/>
      <w:bookmarkStart w:id="2" w:name="_Toc411605922"/>
      <w:bookmarkStart w:id="3" w:name="_Toc484003806"/>
      <w:bookmarkStart w:id="4" w:name="_Toc485024045"/>
      <w:r>
        <w:rPr>
          <w:noProof/>
        </w:rPr>
        <w:t>1.</w:t>
      </w:r>
      <w:r>
        <w:rPr>
          <w:noProof/>
        </w:rPr>
        <w:tab/>
        <w:t>Introduction</w:t>
      </w:r>
      <w:bookmarkEnd w:id="1"/>
      <w:bookmarkEnd w:id="2"/>
      <w:bookmarkEnd w:id="3"/>
      <w:bookmarkEnd w:id="4"/>
    </w:p>
    <w:p w:rsidR="00897D54" w:rsidRDefault="00E84B56">
      <w:pPr>
        <w:tabs>
          <w:tab w:val="left" w:pos="426"/>
        </w:tabs>
        <w:jc w:val="both"/>
        <w:rPr>
          <w:rFonts w:ascii="Times New Roman" w:hAnsi="Times New Roman" w:cs="Times New Roman"/>
          <w:noProof/>
        </w:rPr>
      </w:pPr>
      <w:r>
        <w:rPr>
          <w:rFonts w:ascii="Times New Roman" w:hAnsi="Times New Roman"/>
          <w:noProof/>
        </w:rPr>
        <w:t>Le présent rapport remplit l’obligation statutaire résultant de l’article 79, paragraphe 3, du régime applicable aux autres agents de l’Union européenne (ci-après RAA), qui prévoit que «</w:t>
      </w:r>
      <w:r>
        <w:rPr>
          <w:rFonts w:ascii="Times New Roman" w:hAnsi="Times New Roman"/>
          <w:i/>
          <w:noProof/>
        </w:rPr>
        <w:t>la Commission présente un rapport annuel sur le recours aux agents contractuels, qui indique le nombre d’agents, le niveau et le type d’emplois, la répartition géographique et les ressources budgétaires par groupe de fonctions</w:t>
      </w:r>
      <w:r>
        <w:rPr>
          <w:rFonts w:ascii="Times New Roman" w:hAnsi="Times New Roman"/>
          <w:noProof/>
        </w:rPr>
        <w:t>». Il fournit un tableau détaillé des agents contractuels (ci-après AC) employés au 31 décembre 2015 dans les institutions européennes.</w:t>
      </w:r>
    </w:p>
    <w:p w:rsidR="00897D54" w:rsidRDefault="00E84B56">
      <w:pPr>
        <w:tabs>
          <w:tab w:val="left" w:pos="426"/>
        </w:tabs>
        <w:jc w:val="both"/>
        <w:rPr>
          <w:rFonts w:ascii="Times New Roman" w:hAnsi="Times New Roman" w:cs="Times New Roman"/>
          <w:noProof/>
        </w:rPr>
      </w:pPr>
      <w:r>
        <w:rPr>
          <w:rFonts w:ascii="Times New Roman" w:hAnsi="Times New Roman"/>
          <w:noProof/>
        </w:rPr>
        <w:t>Ce rapport comprend des données concernant 55 entités différentes: a) 10 institutions européennes [y compris le Service européen pour l’action extérieure (SEAE), en place depuis le 1</w:t>
      </w:r>
      <w:r>
        <w:rPr>
          <w:rFonts w:ascii="Times New Roman" w:hAnsi="Times New Roman"/>
          <w:noProof/>
          <w:vertAlign w:val="superscript"/>
        </w:rPr>
        <w:t>er</w:t>
      </w:r>
      <w:r>
        <w:rPr>
          <w:rFonts w:ascii="Times New Roman" w:hAnsi="Times New Roman"/>
          <w:noProof/>
        </w:rPr>
        <w:t xml:space="preserve"> janvier 2011]; et b) 45 agences ou entreprises communes au sens de l’article 1</w:t>
      </w:r>
      <w:r>
        <w:rPr>
          <w:rFonts w:ascii="Times New Roman" w:hAnsi="Times New Roman"/>
          <w:noProof/>
          <w:vertAlign w:val="superscript"/>
        </w:rPr>
        <w:t xml:space="preserve">er </w:t>
      </w:r>
      <w:r>
        <w:rPr>
          <w:rFonts w:ascii="Times New Roman" w:hAnsi="Times New Roman"/>
          <w:noProof/>
        </w:rPr>
        <w:t>bis , du statut. Les données pour la Commission sont plus détaillées et incluent le personnel financé sur les lignes opérationnelles et de recherche, les offices administratifs, les délégations, les représentations et le Centre commun de recherche (JRC).</w:t>
      </w:r>
    </w:p>
    <w:p w:rsidR="00897D54" w:rsidRDefault="00E84B56">
      <w:pPr>
        <w:tabs>
          <w:tab w:val="left" w:pos="426"/>
        </w:tabs>
        <w:jc w:val="both"/>
        <w:rPr>
          <w:rFonts w:ascii="Times New Roman" w:hAnsi="Times New Roman" w:cs="Times New Roman"/>
          <w:noProof/>
        </w:rPr>
      </w:pPr>
      <w:r>
        <w:rPr>
          <w:rFonts w:ascii="Times New Roman" w:hAnsi="Times New Roman"/>
          <w:noProof/>
        </w:rPr>
        <w:t>Il convient de noter que les données budgétaires (transmises chaque année à l'Autorité budgétaire avec le projet de budget – document de travail, parties II et III) reprennent quant à elles les AC présents au moment de la présentation du projet de budget (en incluant les AC recrutés à partir des recettes affectées), à savoir: un relevé au 1</w:t>
      </w:r>
      <w:r>
        <w:rPr>
          <w:rFonts w:ascii="Times New Roman" w:hAnsi="Times New Roman"/>
          <w:noProof/>
          <w:vertAlign w:val="superscript"/>
        </w:rPr>
        <w:t>er</w:t>
      </w:r>
      <w:r>
        <w:rPr>
          <w:rFonts w:ascii="Times New Roman" w:hAnsi="Times New Roman"/>
          <w:noProof/>
        </w:rPr>
        <w:t xml:space="preserve"> avril de l'année N-1 (N étant l'année du projet de budget), l'exécution budgétaire de l'année N-2 et les demandes de crédits avec une estimation en équivalents temps plein pour l'année N. Cela explique dès lors certaines différences qui peuvent apparaître concernant le nombre d’AC entre les différentes sources de données. Étant donné que plusieurs lignes budgétaires comprennent les crédits pour le personnel externe sans établir de distinction entre les différentes catégories de ce personnel, les chiffres du budget transmettent les meilleures estimations possibles fondées sur les coûts moyens probables et la répartition entre les catégories. </w:t>
      </w:r>
    </w:p>
    <w:p w:rsidR="00897D54" w:rsidRDefault="00E84B56">
      <w:pPr>
        <w:tabs>
          <w:tab w:val="left" w:pos="426"/>
        </w:tabs>
        <w:jc w:val="both"/>
        <w:rPr>
          <w:rFonts w:ascii="Times New Roman" w:hAnsi="Times New Roman"/>
          <w:noProof/>
        </w:rPr>
      </w:pPr>
      <w:r>
        <w:rPr>
          <w:rFonts w:ascii="Times New Roman" w:hAnsi="Times New Roman"/>
          <w:noProof/>
        </w:rPr>
        <w:t>La catégorie des agents contractuels a été créée en 2004 dans le cadre de la réforme du statut. Depuis lors, les AC ont contribué utilement au travail des institutions en effectuant à des coûts moindres des activités d’appui administratif et en apportant des compétences dont les institutions ne disposaient pas toujours immédiatement.</w:t>
      </w:r>
    </w:p>
    <w:p w:rsidR="00897D54" w:rsidRDefault="00E84B56">
      <w:pPr>
        <w:tabs>
          <w:tab w:val="left" w:pos="426"/>
        </w:tabs>
        <w:jc w:val="both"/>
        <w:rPr>
          <w:rFonts w:ascii="Times New Roman" w:hAnsi="Times New Roman"/>
          <w:noProof/>
        </w:rPr>
      </w:pPr>
      <w:r>
        <w:rPr>
          <w:rFonts w:ascii="Times New Roman" w:hAnsi="Times New Roman"/>
          <w:noProof/>
        </w:rPr>
        <w:t xml:space="preserve">Les articles 3 bis et 3 ter du RAA définissent le rôle des agents contractuels et les fonctions qu’ils peuvent exercer. </w:t>
      </w:r>
    </w:p>
    <w:p w:rsidR="00897D54" w:rsidRDefault="00E84B56">
      <w:pPr>
        <w:tabs>
          <w:tab w:val="left" w:pos="426"/>
        </w:tabs>
        <w:jc w:val="both"/>
        <w:rPr>
          <w:rFonts w:ascii="Times New Roman" w:hAnsi="Times New Roman"/>
          <w:noProof/>
        </w:rPr>
      </w:pPr>
      <w:r>
        <w:rPr>
          <w:rFonts w:ascii="Times New Roman" w:hAnsi="Times New Roman"/>
          <w:noProof/>
        </w:rPr>
        <w:t xml:space="preserve">Les agents contractuels visés à l’article 3 bis peuvent être engagés, soit à temps partiel ou à plein temps , dans un emploi non prévu au tableau des effectifs: </w:t>
      </w:r>
    </w:p>
    <w:p w:rsidR="00897D54" w:rsidRDefault="00E84B56">
      <w:pPr>
        <w:pStyle w:val="ListParagraph"/>
        <w:numPr>
          <w:ilvl w:val="0"/>
          <w:numId w:val="4"/>
        </w:numPr>
        <w:tabs>
          <w:tab w:val="left" w:pos="426"/>
        </w:tabs>
        <w:jc w:val="both"/>
        <w:rPr>
          <w:rFonts w:ascii="Times New Roman" w:hAnsi="Times New Roman"/>
          <w:noProof/>
        </w:rPr>
      </w:pPr>
      <w:r>
        <w:rPr>
          <w:rFonts w:ascii="Times New Roman" w:hAnsi="Times New Roman"/>
          <w:noProof/>
        </w:rPr>
        <w:t xml:space="preserve">pour les services des institutions: pour effectuer exclusivement des tâches manuelles ou d’appui administratif dans le groupe de fonctions I, </w:t>
      </w:r>
    </w:p>
    <w:p w:rsidR="00897D54" w:rsidRDefault="00E84B56">
      <w:pPr>
        <w:pStyle w:val="ListParagraph"/>
        <w:numPr>
          <w:ilvl w:val="0"/>
          <w:numId w:val="4"/>
        </w:numPr>
        <w:tabs>
          <w:tab w:val="left" w:pos="426"/>
        </w:tabs>
        <w:jc w:val="both"/>
        <w:rPr>
          <w:rFonts w:ascii="Times New Roman" w:hAnsi="Times New Roman"/>
          <w:noProof/>
        </w:rPr>
      </w:pPr>
      <w:r>
        <w:rPr>
          <w:rFonts w:ascii="Times New Roman" w:hAnsi="Times New Roman"/>
          <w:noProof/>
        </w:rPr>
        <w:t xml:space="preserve">pour les représentations et les délégations, les agences et autres entités de l’UE: en vue d'exercer les fonctions visées à l'article 80, paragraphe 2, du RAA, dans les groupes de fonctions I, II, III et IV. </w:t>
      </w:r>
    </w:p>
    <w:p w:rsidR="00897D54" w:rsidRDefault="00E84B56">
      <w:pPr>
        <w:tabs>
          <w:tab w:val="left" w:pos="426"/>
        </w:tabs>
        <w:jc w:val="both"/>
        <w:rPr>
          <w:rFonts w:ascii="Times New Roman" w:hAnsi="Times New Roman"/>
          <w:noProof/>
        </w:rPr>
      </w:pPr>
      <w:r>
        <w:rPr>
          <w:rFonts w:ascii="Times New Roman" w:hAnsi="Times New Roman"/>
          <w:noProof/>
        </w:rPr>
        <w:t>Ces agents bénéficient d’un contrat qui peut être transformé en contrat à durée indéterminée, après un premier renouvellement.</w:t>
      </w:r>
    </w:p>
    <w:p w:rsidR="00897D54" w:rsidRDefault="00E84B56">
      <w:pPr>
        <w:tabs>
          <w:tab w:val="left" w:pos="426"/>
        </w:tabs>
        <w:jc w:val="both"/>
        <w:rPr>
          <w:rFonts w:ascii="Times New Roman" w:hAnsi="Times New Roman"/>
          <w:noProof/>
        </w:rPr>
      </w:pPr>
      <w:r>
        <w:rPr>
          <w:rFonts w:ascii="Times New Roman" w:hAnsi="Times New Roman"/>
          <w:noProof/>
        </w:rPr>
        <w:t>Les agents contractuels visés à l'article 3 ter sont engagés:</w:t>
      </w:r>
    </w:p>
    <w:p w:rsidR="00897D54" w:rsidRDefault="00E84B56">
      <w:pPr>
        <w:pStyle w:val="ListParagraph"/>
        <w:numPr>
          <w:ilvl w:val="0"/>
          <w:numId w:val="5"/>
        </w:numPr>
        <w:tabs>
          <w:tab w:val="left" w:pos="426"/>
        </w:tabs>
        <w:jc w:val="both"/>
        <w:rPr>
          <w:rFonts w:ascii="Times New Roman" w:hAnsi="Times New Roman"/>
          <w:noProof/>
        </w:rPr>
      </w:pPr>
      <w:r>
        <w:rPr>
          <w:rFonts w:ascii="Times New Roman" w:hAnsi="Times New Roman"/>
          <w:noProof/>
        </w:rPr>
        <w:t>en vue d’exécuter des tâches autres que celles visées à l’article 3 bis du RAA dans un emploi non prévu au tableau des effectifs, ou</w:t>
      </w:r>
    </w:p>
    <w:p w:rsidR="00897D54" w:rsidRDefault="00E84B56">
      <w:pPr>
        <w:pStyle w:val="ListParagraph"/>
        <w:numPr>
          <w:ilvl w:val="0"/>
          <w:numId w:val="5"/>
        </w:numPr>
        <w:tabs>
          <w:tab w:val="left" w:pos="426"/>
        </w:tabs>
        <w:jc w:val="both"/>
        <w:rPr>
          <w:rFonts w:ascii="Times New Roman" w:hAnsi="Times New Roman"/>
          <w:noProof/>
        </w:rPr>
      </w:pPr>
      <w:r>
        <w:rPr>
          <w:rFonts w:ascii="Times New Roman" w:hAnsi="Times New Roman"/>
          <w:noProof/>
        </w:rPr>
        <w:t xml:space="preserve">pour remplacer un fonctionnaire ou un agent temporaire se trouvant momentanément dans l’incapacité d’exercer ses fonctions. </w:t>
      </w:r>
    </w:p>
    <w:p w:rsidR="00897D54" w:rsidRDefault="00E84B56">
      <w:pPr>
        <w:tabs>
          <w:tab w:val="left" w:pos="426"/>
        </w:tabs>
        <w:jc w:val="both"/>
        <w:rPr>
          <w:rFonts w:ascii="Times New Roman" w:hAnsi="Times New Roman"/>
          <w:noProof/>
        </w:rPr>
      </w:pPr>
      <w:r>
        <w:rPr>
          <w:rFonts w:ascii="Times New Roman" w:hAnsi="Times New Roman"/>
          <w:noProof/>
        </w:rPr>
        <w:t>Ce personnel est engagé pour de courtes périodes, d’un minimum de 3 mois à un maximum de 6 ans.</w:t>
      </w:r>
    </w:p>
    <w:p w:rsidR="00897D54" w:rsidRDefault="00897D54">
      <w:pPr>
        <w:tabs>
          <w:tab w:val="left" w:pos="426"/>
        </w:tabs>
        <w:jc w:val="both"/>
        <w:rPr>
          <w:rFonts w:ascii="Times New Roman" w:hAnsi="Times New Roman"/>
          <w:noProof/>
        </w:rPr>
      </w:pPr>
    </w:p>
    <w:p w:rsidR="00897D54" w:rsidRDefault="00E84B56">
      <w:pPr>
        <w:tabs>
          <w:tab w:val="left" w:pos="426"/>
        </w:tabs>
        <w:jc w:val="both"/>
        <w:rPr>
          <w:rFonts w:ascii="Times New Roman" w:hAnsi="Times New Roman" w:cs="Times New Roman"/>
          <w:noProof/>
        </w:rPr>
      </w:pPr>
      <w:r>
        <w:rPr>
          <w:rFonts w:ascii="Times New Roman" w:hAnsi="Times New Roman"/>
          <w:noProof/>
        </w:rPr>
        <w:t>L’article 80 du RAA établit une correspondance entre chaque groupe de fonctions (ci-après GF) et les tâches pouvant être exercées par un AC:</w:t>
      </w:r>
    </w:p>
    <w:tbl>
      <w:tblPr>
        <w:tblW w:w="4863" w:type="pct"/>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281"/>
        <w:gridCol w:w="1048"/>
        <w:gridCol w:w="6525"/>
      </w:tblGrid>
      <w:tr w:rsidR="00897D54">
        <w:tc>
          <w:tcPr>
            <w:tcW w:w="1291" w:type="dxa"/>
            <w:vAlign w:val="center"/>
            <w:hideMark/>
          </w:tcPr>
          <w:p w:rsidR="00897D54" w:rsidRDefault="00E84B56">
            <w:pPr>
              <w:spacing w:before="100" w:after="100"/>
              <w:jc w:val="center"/>
              <w:rPr>
                <w:noProof/>
                <w:color w:val="000000"/>
                <w:sz w:val="21"/>
                <w:szCs w:val="21"/>
              </w:rPr>
            </w:pPr>
            <w:r>
              <w:rPr>
                <w:b/>
                <w:noProof/>
                <w:color w:val="000000"/>
                <w:sz w:val="21"/>
              </w:rPr>
              <w:t>Groupe de fonctions</w:t>
            </w:r>
          </w:p>
        </w:tc>
        <w:tc>
          <w:tcPr>
            <w:tcW w:w="1058" w:type="dxa"/>
            <w:vAlign w:val="center"/>
            <w:hideMark/>
          </w:tcPr>
          <w:p w:rsidR="00897D54" w:rsidRDefault="00E84B56">
            <w:pPr>
              <w:spacing w:before="100" w:after="100"/>
              <w:jc w:val="center"/>
              <w:rPr>
                <w:noProof/>
                <w:color w:val="000000"/>
                <w:sz w:val="21"/>
                <w:szCs w:val="21"/>
              </w:rPr>
            </w:pPr>
            <w:r>
              <w:rPr>
                <w:b/>
                <w:noProof/>
                <w:color w:val="000000"/>
                <w:sz w:val="21"/>
              </w:rPr>
              <w:t>Grades</w:t>
            </w:r>
          </w:p>
        </w:tc>
        <w:tc>
          <w:tcPr>
            <w:tcW w:w="0" w:type="auto"/>
            <w:vAlign w:val="center"/>
            <w:hideMark/>
          </w:tcPr>
          <w:p w:rsidR="00897D54" w:rsidRDefault="00E84B56">
            <w:pPr>
              <w:spacing w:before="100" w:after="100"/>
              <w:jc w:val="center"/>
              <w:rPr>
                <w:noProof/>
                <w:color w:val="000000"/>
                <w:sz w:val="21"/>
                <w:szCs w:val="21"/>
              </w:rPr>
            </w:pPr>
            <w:r>
              <w:rPr>
                <w:b/>
                <w:noProof/>
                <w:color w:val="000000"/>
                <w:sz w:val="21"/>
              </w:rPr>
              <w:t>Tâches</w:t>
            </w:r>
          </w:p>
        </w:tc>
      </w:tr>
      <w:tr w:rsidR="00897D54">
        <w:tc>
          <w:tcPr>
            <w:tcW w:w="1291" w:type="dxa"/>
            <w:vAlign w:val="center"/>
            <w:hideMark/>
          </w:tcPr>
          <w:p w:rsidR="00897D54" w:rsidRDefault="00E84B56">
            <w:pPr>
              <w:spacing w:before="100" w:after="100"/>
              <w:ind w:left="180"/>
              <w:jc w:val="center"/>
              <w:rPr>
                <w:noProof/>
                <w:color w:val="000000"/>
                <w:sz w:val="21"/>
                <w:szCs w:val="21"/>
              </w:rPr>
            </w:pPr>
            <w:r>
              <w:rPr>
                <w:b/>
                <w:noProof/>
                <w:color w:val="000000"/>
                <w:sz w:val="21"/>
              </w:rPr>
              <w:t>IV</w:t>
            </w:r>
          </w:p>
        </w:tc>
        <w:tc>
          <w:tcPr>
            <w:tcW w:w="1058" w:type="dxa"/>
            <w:vAlign w:val="center"/>
            <w:hideMark/>
          </w:tcPr>
          <w:p w:rsidR="00897D54" w:rsidRDefault="00E84B56">
            <w:pPr>
              <w:spacing w:before="100" w:after="100"/>
              <w:jc w:val="center"/>
              <w:rPr>
                <w:noProof/>
                <w:color w:val="000000"/>
                <w:sz w:val="21"/>
                <w:szCs w:val="21"/>
              </w:rPr>
            </w:pPr>
            <w:r>
              <w:rPr>
                <w:noProof/>
                <w:color w:val="000000"/>
                <w:sz w:val="21"/>
              </w:rPr>
              <w:t>13 à 18</w:t>
            </w:r>
          </w:p>
        </w:tc>
        <w:tc>
          <w:tcPr>
            <w:tcW w:w="6650" w:type="dxa"/>
            <w:vAlign w:val="center"/>
            <w:hideMark/>
          </w:tcPr>
          <w:p w:rsidR="00897D54" w:rsidRDefault="00E84B56">
            <w:pPr>
              <w:spacing w:before="100" w:after="100"/>
              <w:rPr>
                <w:noProof/>
                <w:color w:val="000000"/>
                <w:sz w:val="21"/>
                <w:szCs w:val="21"/>
              </w:rPr>
            </w:pPr>
            <w:r>
              <w:rPr>
                <w:noProof/>
                <w:color w:val="000000"/>
                <w:sz w:val="21"/>
              </w:rPr>
              <w:t>Tâches administratives, de conseil, linguistiques et tâches techniques équivalentes, exécutées sous la supervision de fonctionnaires ou d'agents temporaires.</w:t>
            </w:r>
          </w:p>
        </w:tc>
      </w:tr>
      <w:tr w:rsidR="00897D54">
        <w:tc>
          <w:tcPr>
            <w:tcW w:w="1291" w:type="dxa"/>
            <w:vAlign w:val="center"/>
            <w:hideMark/>
          </w:tcPr>
          <w:p w:rsidR="00897D54" w:rsidRDefault="00E84B56">
            <w:pPr>
              <w:spacing w:before="100" w:after="100"/>
              <w:ind w:left="180"/>
              <w:jc w:val="center"/>
              <w:rPr>
                <w:noProof/>
                <w:color w:val="000000"/>
                <w:sz w:val="21"/>
                <w:szCs w:val="21"/>
              </w:rPr>
            </w:pPr>
            <w:r>
              <w:rPr>
                <w:b/>
                <w:noProof/>
                <w:color w:val="000000"/>
                <w:sz w:val="21"/>
              </w:rPr>
              <w:t>III</w:t>
            </w:r>
          </w:p>
        </w:tc>
        <w:tc>
          <w:tcPr>
            <w:tcW w:w="1058" w:type="dxa"/>
            <w:vAlign w:val="center"/>
            <w:hideMark/>
          </w:tcPr>
          <w:p w:rsidR="00897D54" w:rsidRDefault="00E84B56">
            <w:pPr>
              <w:spacing w:before="100" w:after="100"/>
              <w:jc w:val="center"/>
              <w:rPr>
                <w:noProof/>
                <w:color w:val="000000"/>
                <w:sz w:val="21"/>
                <w:szCs w:val="21"/>
              </w:rPr>
            </w:pPr>
            <w:r>
              <w:rPr>
                <w:noProof/>
                <w:color w:val="000000"/>
                <w:sz w:val="21"/>
              </w:rPr>
              <w:t>8 à 12</w:t>
            </w:r>
          </w:p>
        </w:tc>
        <w:tc>
          <w:tcPr>
            <w:tcW w:w="6650" w:type="dxa"/>
            <w:vAlign w:val="center"/>
            <w:hideMark/>
          </w:tcPr>
          <w:p w:rsidR="00897D54" w:rsidRDefault="00E84B56">
            <w:pPr>
              <w:spacing w:before="100" w:after="100"/>
              <w:rPr>
                <w:noProof/>
                <w:color w:val="000000"/>
                <w:sz w:val="21"/>
                <w:szCs w:val="21"/>
              </w:rPr>
            </w:pPr>
            <w:r>
              <w:rPr>
                <w:noProof/>
                <w:color w:val="000000"/>
                <w:sz w:val="21"/>
              </w:rPr>
              <w:t>Tâches d'exécution, de rédaction, de comptabilité et autres tâches techniques équivalentes, exécutées sous la supervision de fonctionnaires ou d'agents temporaires.</w:t>
            </w:r>
          </w:p>
        </w:tc>
      </w:tr>
      <w:tr w:rsidR="00897D54">
        <w:tc>
          <w:tcPr>
            <w:tcW w:w="1291" w:type="dxa"/>
            <w:vAlign w:val="center"/>
            <w:hideMark/>
          </w:tcPr>
          <w:p w:rsidR="00897D54" w:rsidRDefault="00E84B56">
            <w:pPr>
              <w:spacing w:before="100" w:after="100"/>
              <w:ind w:left="180"/>
              <w:jc w:val="center"/>
              <w:rPr>
                <w:noProof/>
                <w:color w:val="000000"/>
                <w:sz w:val="21"/>
                <w:szCs w:val="21"/>
              </w:rPr>
            </w:pPr>
            <w:r>
              <w:rPr>
                <w:b/>
                <w:noProof/>
                <w:color w:val="000000"/>
                <w:sz w:val="21"/>
              </w:rPr>
              <w:t>II</w:t>
            </w:r>
          </w:p>
        </w:tc>
        <w:tc>
          <w:tcPr>
            <w:tcW w:w="1058" w:type="dxa"/>
            <w:vAlign w:val="center"/>
            <w:hideMark/>
          </w:tcPr>
          <w:p w:rsidR="00897D54" w:rsidRDefault="00E84B56">
            <w:pPr>
              <w:spacing w:before="100" w:after="100"/>
              <w:jc w:val="center"/>
              <w:rPr>
                <w:noProof/>
                <w:color w:val="000000"/>
                <w:sz w:val="21"/>
                <w:szCs w:val="21"/>
              </w:rPr>
            </w:pPr>
            <w:r>
              <w:rPr>
                <w:noProof/>
                <w:color w:val="000000"/>
                <w:sz w:val="21"/>
              </w:rPr>
              <w:t>4 à 7</w:t>
            </w:r>
          </w:p>
        </w:tc>
        <w:tc>
          <w:tcPr>
            <w:tcW w:w="6650" w:type="dxa"/>
            <w:vAlign w:val="center"/>
            <w:hideMark/>
          </w:tcPr>
          <w:p w:rsidR="00897D54" w:rsidRDefault="00E84B56">
            <w:pPr>
              <w:spacing w:before="100" w:after="100"/>
              <w:rPr>
                <w:noProof/>
                <w:color w:val="000000"/>
                <w:sz w:val="21"/>
                <w:szCs w:val="21"/>
              </w:rPr>
            </w:pPr>
            <w:r>
              <w:rPr>
                <w:noProof/>
                <w:color w:val="000000"/>
                <w:sz w:val="21"/>
              </w:rPr>
              <w:t>Tâches de bureau et de secrétariat, direction de bureau et autres tâches équivalentes, exécutées sous la supervision de fonctionnaires ou d'agents temporaires.</w:t>
            </w:r>
          </w:p>
        </w:tc>
      </w:tr>
      <w:tr w:rsidR="00897D54">
        <w:tc>
          <w:tcPr>
            <w:tcW w:w="1291" w:type="dxa"/>
            <w:vAlign w:val="center"/>
            <w:hideMark/>
          </w:tcPr>
          <w:p w:rsidR="00897D54" w:rsidRDefault="00E84B56">
            <w:pPr>
              <w:spacing w:before="100" w:after="100"/>
              <w:ind w:left="180"/>
              <w:jc w:val="center"/>
              <w:rPr>
                <w:noProof/>
                <w:color w:val="000000"/>
                <w:sz w:val="21"/>
                <w:szCs w:val="21"/>
              </w:rPr>
            </w:pPr>
            <w:r>
              <w:rPr>
                <w:b/>
                <w:noProof/>
                <w:color w:val="000000"/>
                <w:sz w:val="21"/>
              </w:rPr>
              <w:t>I</w:t>
            </w:r>
          </w:p>
        </w:tc>
        <w:tc>
          <w:tcPr>
            <w:tcW w:w="1058" w:type="dxa"/>
            <w:vAlign w:val="center"/>
            <w:hideMark/>
          </w:tcPr>
          <w:p w:rsidR="00897D54" w:rsidRDefault="00E84B56">
            <w:pPr>
              <w:spacing w:before="100" w:after="100"/>
              <w:jc w:val="center"/>
              <w:rPr>
                <w:noProof/>
                <w:color w:val="000000"/>
                <w:sz w:val="21"/>
                <w:szCs w:val="21"/>
              </w:rPr>
            </w:pPr>
            <w:r>
              <w:rPr>
                <w:noProof/>
                <w:color w:val="000000"/>
                <w:sz w:val="21"/>
              </w:rPr>
              <w:t>1 à 3</w:t>
            </w:r>
          </w:p>
        </w:tc>
        <w:tc>
          <w:tcPr>
            <w:tcW w:w="6650" w:type="dxa"/>
            <w:vAlign w:val="center"/>
            <w:hideMark/>
          </w:tcPr>
          <w:p w:rsidR="00897D54" w:rsidRDefault="00E84B56">
            <w:pPr>
              <w:spacing w:before="100" w:after="100"/>
              <w:rPr>
                <w:noProof/>
                <w:color w:val="000000"/>
                <w:sz w:val="21"/>
                <w:szCs w:val="21"/>
              </w:rPr>
            </w:pPr>
            <w:r>
              <w:rPr>
                <w:noProof/>
                <w:color w:val="000000"/>
                <w:sz w:val="21"/>
              </w:rPr>
              <w:t>Tâches manuelles et d'appui administratif effectuées sous le contrôle de fonctionnaires ou d'agents.</w:t>
            </w:r>
          </w:p>
        </w:tc>
      </w:tr>
    </w:tbl>
    <w:p w:rsidR="00897D54" w:rsidRDefault="00897D54">
      <w:pPr>
        <w:tabs>
          <w:tab w:val="left" w:pos="426"/>
        </w:tabs>
        <w:jc w:val="both"/>
        <w:rPr>
          <w:rFonts w:ascii="Times New Roman" w:hAnsi="Times New Roman" w:cs="Times New Roman"/>
          <w:noProof/>
        </w:rPr>
      </w:pPr>
    </w:p>
    <w:p w:rsidR="00897D54" w:rsidRDefault="00E84B56">
      <w:pPr>
        <w:spacing w:after="0" w:line="240" w:lineRule="auto"/>
        <w:rPr>
          <w:rFonts w:ascii="Times New Roman" w:eastAsia="Times New Roman" w:hAnsi="Times New Roman" w:cs="Times New Roman"/>
          <w:b/>
          <w:smallCaps/>
          <w:noProof/>
          <w:sz w:val="24"/>
          <w:szCs w:val="24"/>
        </w:rPr>
      </w:pPr>
      <w:bookmarkStart w:id="5" w:name="_Toc306183902"/>
      <w:bookmarkStart w:id="6" w:name="_Toc411605923"/>
      <w:r>
        <w:rPr>
          <w:noProof/>
        </w:rPr>
        <w:br w:type="page"/>
      </w:r>
    </w:p>
    <w:p w:rsidR="00897D54" w:rsidRDefault="00E84B56">
      <w:pPr>
        <w:pStyle w:val="ManualHeading1"/>
        <w:rPr>
          <w:noProof/>
        </w:rPr>
      </w:pPr>
      <w:bookmarkStart w:id="7" w:name="_Toc484003807"/>
      <w:bookmarkStart w:id="8" w:name="_Toc485024046"/>
      <w:r>
        <w:rPr>
          <w:noProof/>
        </w:rPr>
        <w:t>2.</w:t>
      </w:r>
      <w:r>
        <w:rPr>
          <w:noProof/>
        </w:rPr>
        <w:tab/>
        <w:t>Évolution du nombre d’agents contractuels depuis 2004 au sein de la Commission</w:t>
      </w:r>
      <w:bookmarkEnd w:id="5"/>
      <w:bookmarkEnd w:id="6"/>
      <w:bookmarkEnd w:id="7"/>
      <w:bookmarkEnd w:id="8"/>
    </w:p>
    <w:p w:rsidR="00897D54" w:rsidRDefault="00E84B56">
      <w:pPr>
        <w:tabs>
          <w:tab w:val="left" w:pos="426"/>
        </w:tabs>
        <w:jc w:val="both"/>
        <w:rPr>
          <w:rFonts w:ascii="Times New Roman" w:hAnsi="Times New Roman" w:cs="Times New Roman"/>
          <w:noProof/>
        </w:rPr>
      </w:pPr>
      <w:r>
        <w:rPr>
          <w:rFonts w:ascii="Times New Roman" w:hAnsi="Times New Roman"/>
          <w:noProof/>
        </w:rPr>
        <w:t>Le 31 décembre 2015, 45 agences ou entreprises communes et 10 institutions employaient quelque 11 700 agents contractuels. Ce nombre total représente une augmentation de 5,6 % par rapport à 2014. En 2015, la Commission employait environ 57 % d’agents contractuels contre 58 % en 2014 et en 2013. Cette diminution relative de la part d’agents contractuels employés par la Commission est due à la progression plus forte constatée dans les autres institutions et dans les agences: + 8,9 % contre + 3,3 % pour la Commission.</w:t>
      </w:r>
    </w:p>
    <w:p w:rsidR="00897D54" w:rsidRDefault="00E84B56">
      <w:pPr>
        <w:tabs>
          <w:tab w:val="left" w:pos="426"/>
        </w:tabs>
        <w:jc w:val="both"/>
        <w:rPr>
          <w:rFonts w:ascii="Times New Roman" w:hAnsi="Times New Roman" w:cs="Times New Roman"/>
          <w:noProof/>
        </w:rPr>
      </w:pPr>
      <w:r>
        <w:rPr>
          <w:rFonts w:ascii="Times New Roman" w:hAnsi="Times New Roman"/>
          <w:noProof/>
        </w:rPr>
        <w:t>Le détail de la répartition par institution et agence est analysé plus loin dans le présent rapport.</w:t>
      </w:r>
    </w:p>
    <w:p w:rsidR="00897D54" w:rsidRDefault="00E84B56">
      <w:pPr>
        <w:tabs>
          <w:tab w:val="left" w:pos="426"/>
        </w:tabs>
        <w:jc w:val="both"/>
        <w:rPr>
          <w:rFonts w:ascii="Times New Roman" w:hAnsi="Times New Roman" w:cs="Times New Roman"/>
          <w:noProof/>
        </w:rPr>
      </w:pPr>
      <w:r>
        <w:rPr>
          <w:rFonts w:ascii="Times New Roman" w:hAnsi="Times New Roman"/>
          <w:noProof/>
        </w:rPr>
        <w:t>L’évolution des effectifs depuis 2004 au sein de la Commission est la suivante</w:t>
      </w:r>
      <w:r>
        <w:rPr>
          <w:rStyle w:val="FootnoteReference"/>
          <w:noProof/>
        </w:rPr>
        <w:footnoteReference w:id="1"/>
      </w:r>
      <w:r>
        <w:rPr>
          <w:rFonts w:ascii="Times New Roman" w:hAnsi="Times New Roman"/>
          <w:noProof/>
        </w:rPr>
        <w:t>:</w:t>
      </w:r>
    </w:p>
    <w:p w:rsidR="00897D54" w:rsidRDefault="00E84B56">
      <w:pPr>
        <w:tabs>
          <w:tab w:val="left" w:pos="426"/>
        </w:tabs>
        <w:jc w:val="both"/>
        <w:rPr>
          <w:rFonts w:ascii="Times New Roman" w:hAnsi="Times New Roman"/>
          <w:noProof/>
        </w:rPr>
      </w:pPr>
      <w:r>
        <w:rPr>
          <w:rFonts w:ascii="Times New Roman" w:hAnsi="Times New Roman"/>
          <w:b/>
          <w:noProof/>
        </w:rPr>
        <w:t xml:space="preserve">Tableau n°1 </w:t>
      </w:r>
      <w:r>
        <w:rPr>
          <w:noProof/>
        </w:rPr>
        <w:tab/>
      </w:r>
      <w:r>
        <w:rPr>
          <w:rFonts w:ascii="Times New Roman" w:hAnsi="Times New Roman"/>
          <w:b/>
          <w:noProof/>
        </w:rPr>
        <w:t>Tendance au sein de la Commission</w:t>
      </w:r>
    </w:p>
    <w:p w:rsidR="00897D54" w:rsidRDefault="00E84B56">
      <w:pPr>
        <w:tabs>
          <w:tab w:val="left" w:pos="426"/>
        </w:tabs>
        <w:jc w:val="both"/>
        <w:rPr>
          <w:rFonts w:ascii="Times New Roman" w:hAnsi="Times New Roman" w:cs="Times New Roman"/>
          <w:noProof/>
        </w:rPr>
      </w:pPr>
      <w:r>
        <w:rPr>
          <w:noProof/>
          <w:lang w:val="en-GB" w:eastAsia="en-GB" w:bidi="ar-SA"/>
        </w:rPr>
        <w:drawing>
          <wp:inline distT="0" distB="0" distL="0" distR="0">
            <wp:extent cx="5761355" cy="34866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3486651"/>
                    </a:xfrm>
                    <a:prstGeom prst="rect">
                      <a:avLst/>
                    </a:prstGeom>
                    <a:noFill/>
                    <a:ln>
                      <a:noFill/>
                    </a:ln>
                  </pic:spPr>
                </pic:pic>
              </a:graphicData>
            </a:graphic>
          </wp:inline>
        </w:drawing>
      </w:r>
    </w:p>
    <w:p w:rsidR="00897D54" w:rsidRDefault="00E84B56">
      <w:pPr>
        <w:jc w:val="center"/>
        <w:rPr>
          <w:noProof/>
        </w:rPr>
      </w:pPr>
      <w:r>
        <w:rPr>
          <w:noProof/>
          <w:lang w:val="en-GB" w:eastAsia="en-GB" w:bidi="ar-SA"/>
        </w:rPr>
        <w:drawing>
          <wp:inline distT="0" distB="0" distL="0" distR="0">
            <wp:extent cx="5759355" cy="334370"/>
            <wp:effectExtent l="0" t="0" r="0" b="889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1205" cy="335058"/>
                    </a:xfrm>
                    <a:prstGeom prst="rect">
                      <a:avLst/>
                    </a:prstGeom>
                    <a:noFill/>
                    <a:ln>
                      <a:noFill/>
                    </a:ln>
                  </pic:spPr>
                </pic:pic>
              </a:graphicData>
            </a:graphic>
          </wp:inline>
        </w:drawing>
      </w:r>
    </w:p>
    <w:p w:rsidR="00897D54" w:rsidRDefault="00E84B56">
      <w:pPr>
        <w:tabs>
          <w:tab w:val="left" w:pos="426"/>
        </w:tabs>
        <w:jc w:val="both"/>
        <w:rPr>
          <w:rFonts w:ascii="Times New Roman" w:hAnsi="Times New Roman"/>
          <w:noProof/>
        </w:rPr>
      </w:pPr>
      <w:r>
        <w:rPr>
          <w:rFonts w:ascii="Times New Roman" w:hAnsi="Times New Roman"/>
          <w:noProof/>
        </w:rPr>
        <w:t xml:space="preserve">L’augmentation initiale du nombre d’agents contractuels travaillant à la Commission  s’explique par a) la simple mise en œuvre des dispositions statutaires de 2004, entraînant le remplacement progressif des anciennes catégories des agents auxiliaires (qui étaient près de 3 000 en 2003) et des fonctionnaires et agents temporaires de catégorie D, et b) la conversion des postes de fonctionnaires en crédits d’AC dans les offices administratifs. </w:t>
      </w:r>
    </w:p>
    <w:p w:rsidR="00897D54" w:rsidRDefault="00E84B56">
      <w:pPr>
        <w:tabs>
          <w:tab w:val="left" w:pos="426"/>
        </w:tabs>
        <w:jc w:val="both"/>
        <w:rPr>
          <w:rFonts w:ascii="Times New Roman" w:hAnsi="Times New Roman"/>
          <w:noProof/>
        </w:rPr>
      </w:pPr>
      <w:r>
        <w:rPr>
          <w:rFonts w:ascii="Times New Roman" w:hAnsi="Times New Roman"/>
          <w:noProof/>
        </w:rPr>
        <w:t>Par ailleurs, l’engagement des agents contractuels s’est également poursuivi pour couvrir les besoins de remplacements ponctuels de personnel statutaire tels que prévus à l’article 3 ter du RAA, afin d’assurer une continuité efficace des activités.</w:t>
      </w:r>
    </w:p>
    <w:p w:rsidR="00897D54" w:rsidRDefault="00E84B56">
      <w:pPr>
        <w:tabs>
          <w:tab w:val="left" w:pos="426"/>
        </w:tabs>
        <w:jc w:val="both"/>
        <w:rPr>
          <w:rFonts w:ascii="Times New Roman" w:hAnsi="Times New Roman"/>
          <w:noProof/>
        </w:rPr>
      </w:pPr>
      <w:r>
        <w:rPr>
          <w:rFonts w:ascii="Times New Roman" w:hAnsi="Times New Roman"/>
          <w:noProof/>
        </w:rPr>
        <w:t>Pour les raisons susmentionnées, le nombre d’agents contractuels a augmenté chaque année jusqu’en 2009.</w:t>
      </w:r>
    </w:p>
    <w:p w:rsidR="00897D54" w:rsidRDefault="00E84B56">
      <w:pPr>
        <w:tabs>
          <w:tab w:val="left" w:pos="426"/>
        </w:tabs>
        <w:jc w:val="both"/>
        <w:rPr>
          <w:rFonts w:ascii="Times New Roman" w:hAnsi="Times New Roman" w:cs="Times New Roman"/>
          <w:noProof/>
        </w:rPr>
      </w:pPr>
      <w:r>
        <w:rPr>
          <w:rFonts w:ascii="Times New Roman" w:hAnsi="Times New Roman"/>
          <w:noProof/>
        </w:rPr>
        <w:t xml:space="preserve">De 2010 à 2013, le nombre d’agents contractuels est resté stable, enregistrant une légère baisse sous l’effet de plusieurs motifs concomitants (par exemple, retard dans la finalisation des listes d’aptitude en 2010, transfert de personnel au SEAE au moment de sa création, etc.). </w:t>
      </w:r>
    </w:p>
    <w:p w:rsidR="00897D54" w:rsidRDefault="00E84B56">
      <w:pPr>
        <w:tabs>
          <w:tab w:val="left" w:pos="426"/>
        </w:tabs>
        <w:jc w:val="both"/>
        <w:rPr>
          <w:rFonts w:ascii="Times New Roman" w:hAnsi="Times New Roman"/>
          <w:noProof/>
        </w:rPr>
      </w:pPr>
      <w:r>
        <w:rPr>
          <w:rFonts w:ascii="Times New Roman" w:hAnsi="Times New Roman"/>
          <w:noProof/>
        </w:rPr>
        <w:t>À partir de 2014, l’entrée en vigueur du nouveau statut a permis d'étendre la durée d’engagement des agents contractuels 3 ter jusqu'à 6 années maximum. De nombreux agents contractuels ayant déjà effectué 3 années de service et continuant à travailler à la Commission en tant qu'intérimaires ont ainsi pu être réengagés pour une nouvelle période contractuelle, permettant à la Commission de bénéficier d'agents contractuels déjà formés et immédiatement opérationnels. Cela a eu pour conséquence une progression du nombre d’agents contractuels, parallèlement à une diminution du nombre d’agents intérimaires</w:t>
      </w:r>
      <w:r>
        <w:rPr>
          <w:rStyle w:val="FootnoteReference"/>
          <w:rFonts w:ascii="Times New Roman" w:hAnsi="Times New Roman"/>
          <w:noProof/>
        </w:rPr>
        <w:footnoteReference w:id="2"/>
      </w:r>
      <w:r>
        <w:rPr>
          <w:rFonts w:ascii="Times New Roman" w:hAnsi="Times New Roman"/>
          <w:noProof/>
        </w:rPr>
        <w:t xml:space="preserve"> (payés sur les mêmes crédits budgétaires). </w:t>
      </w:r>
    </w:p>
    <w:p w:rsidR="00897D54" w:rsidRDefault="00E84B56">
      <w:pPr>
        <w:tabs>
          <w:tab w:val="left" w:pos="426"/>
        </w:tabs>
        <w:jc w:val="both"/>
        <w:rPr>
          <w:rFonts w:ascii="Times New Roman" w:hAnsi="Times New Roman"/>
          <w:noProof/>
        </w:rPr>
      </w:pPr>
      <w:r>
        <w:rPr>
          <w:rFonts w:ascii="Times New Roman" w:hAnsi="Times New Roman"/>
          <w:noProof/>
        </w:rPr>
        <w:t>En 2015, la légère augmentation du nombre d’agents contractuels à la Commission est principalement due à un changement opéré par le Centre commun de recherche dans sa politique en matière d’engagement de personnel scientifique non permanent: au lieu de boursiers régis par le droit national, il engage à présent des agents contractuels GFIV.</w:t>
      </w:r>
    </w:p>
    <w:p w:rsidR="00897D54" w:rsidRDefault="00897D54">
      <w:pPr>
        <w:rPr>
          <w:noProof/>
        </w:rPr>
      </w:pPr>
    </w:p>
    <w:p w:rsidR="00897D54" w:rsidRDefault="00E84B56">
      <w:pPr>
        <w:spacing w:after="0" w:line="240" w:lineRule="auto"/>
        <w:rPr>
          <w:rFonts w:ascii="Times New Roman" w:eastAsia="Times New Roman" w:hAnsi="Times New Roman" w:cs="Times New Roman"/>
          <w:b/>
          <w:smallCaps/>
          <w:noProof/>
          <w:sz w:val="24"/>
          <w:szCs w:val="24"/>
        </w:rPr>
      </w:pPr>
      <w:bookmarkStart w:id="9" w:name="_Toc306183903"/>
      <w:bookmarkStart w:id="10" w:name="_Toc411605924"/>
      <w:r>
        <w:rPr>
          <w:noProof/>
        </w:rPr>
        <w:br w:type="page"/>
      </w:r>
    </w:p>
    <w:p w:rsidR="00897D54" w:rsidRDefault="00E84B56">
      <w:pPr>
        <w:pStyle w:val="ManualHeading1"/>
        <w:rPr>
          <w:noProof/>
        </w:rPr>
      </w:pPr>
      <w:bookmarkStart w:id="11" w:name="_Toc484003808"/>
      <w:bookmarkStart w:id="12" w:name="_Toc485024047"/>
      <w:r>
        <w:rPr>
          <w:noProof/>
        </w:rPr>
        <w:t>3.</w:t>
      </w:r>
      <w:r>
        <w:rPr>
          <w:noProof/>
        </w:rPr>
        <w:tab/>
        <w:t xml:space="preserve">Répartition des agents contractuels de la Commission par </w:t>
      </w:r>
      <w:bookmarkEnd w:id="9"/>
      <w:r>
        <w:rPr>
          <w:noProof/>
        </w:rPr>
        <w:t>genre et par groupe de fonctions</w:t>
      </w:r>
      <w:bookmarkEnd w:id="10"/>
      <w:bookmarkEnd w:id="11"/>
      <w:bookmarkEnd w:id="12"/>
    </w:p>
    <w:p w:rsidR="00897D54" w:rsidRDefault="00E84B56">
      <w:pPr>
        <w:rPr>
          <w:rFonts w:ascii="Times New Roman" w:hAnsi="Times New Roman" w:cs="Times New Roman"/>
          <w:noProof/>
        </w:rPr>
      </w:pPr>
      <w:r>
        <w:rPr>
          <w:rFonts w:ascii="Times New Roman" w:hAnsi="Times New Roman"/>
          <w:noProof/>
        </w:rPr>
        <w:t>La répartition des agents contractuels par genre, par groupe de fonction et par grade est présentée dans le tableau suivant.</w:t>
      </w:r>
    </w:p>
    <w:p w:rsidR="00897D54" w:rsidRDefault="00897D54">
      <w:pPr>
        <w:spacing w:after="120"/>
        <w:jc w:val="center"/>
        <w:rPr>
          <w:rFonts w:ascii="Times New Roman" w:hAnsi="Times New Roman" w:cs="Times New Roman"/>
          <w:b/>
          <w:noProof/>
        </w:rPr>
      </w:pPr>
    </w:p>
    <w:p w:rsidR="00897D54" w:rsidRDefault="00E84B56">
      <w:pPr>
        <w:spacing w:after="120"/>
        <w:rPr>
          <w:rFonts w:ascii="Times New Roman" w:hAnsi="Times New Roman"/>
          <w:b/>
          <w:noProof/>
        </w:rPr>
      </w:pPr>
      <w:r>
        <w:rPr>
          <w:rFonts w:ascii="Times New Roman" w:hAnsi="Times New Roman"/>
          <w:b/>
          <w:noProof/>
        </w:rPr>
        <w:t xml:space="preserve">Tableau 2 A </w:t>
      </w:r>
      <w:r>
        <w:rPr>
          <w:noProof/>
        </w:rPr>
        <w:tab/>
      </w:r>
      <w:r>
        <w:rPr>
          <w:noProof/>
        </w:rPr>
        <w:tab/>
      </w:r>
      <w:r>
        <w:rPr>
          <w:noProof/>
        </w:rPr>
        <w:tab/>
      </w:r>
      <w:r>
        <w:rPr>
          <w:rFonts w:ascii="Times New Roman" w:hAnsi="Times New Roman"/>
          <w:b/>
          <w:noProof/>
        </w:rPr>
        <w:t>Répartition par genre, GF et grade en 2015</w:t>
      </w:r>
      <w:r>
        <w:rPr>
          <w:rStyle w:val="FootnoteReference"/>
          <w:b/>
          <w:noProof/>
        </w:rPr>
        <w:footnoteReference w:id="3"/>
      </w:r>
    </w:p>
    <w:p w:rsidR="00897D54" w:rsidRDefault="00897D54">
      <w:pPr>
        <w:spacing w:after="0"/>
        <w:rPr>
          <w:rFonts w:ascii="Times New Roman" w:hAnsi="Times New Roman"/>
          <w:b/>
          <w:noProof/>
        </w:rPr>
      </w:pPr>
    </w:p>
    <w:p w:rsidR="00897D54" w:rsidRDefault="00E84B56">
      <w:pPr>
        <w:spacing w:after="0"/>
        <w:rPr>
          <w:rFonts w:ascii="Times New Roman" w:hAnsi="Times New Roman" w:cs="Times New Roman"/>
          <w:b/>
          <w:noProof/>
        </w:rPr>
      </w:pPr>
      <w:r>
        <w:rPr>
          <w:noProof/>
          <w:lang w:val="en-GB" w:eastAsia="en-GB" w:bidi="ar-SA"/>
        </w:rPr>
        <w:drawing>
          <wp:inline distT="0" distB="0" distL="0" distR="0">
            <wp:extent cx="6081824" cy="382772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4421" cy="3829355"/>
                    </a:xfrm>
                    <a:prstGeom prst="rect">
                      <a:avLst/>
                    </a:prstGeom>
                    <a:noFill/>
                    <a:ln>
                      <a:noFill/>
                    </a:ln>
                  </pic:spPr>
                </pic:pic>
              </a:graphicData>
            </a:graphic>
          </wp:inline>
        </w:drawing>
      </w:r>
    </w:p>
    <w:p w:rsidR="00897D54" w:rsidRDefault="00E84B56">
      <w:pPr>
        <w:spacing w:after="0" w:line="240" w:lineRule="auto"/>
        <w:rPr>
          <w:noProof/>
        </w:rPr>
      </w:pPr>
      <w:r>
        <w:rPr>
          <w:noProof/>
        </w:rPr>
        <w:br w:type="page"/>
      </w:r>
    </w:p>
    <w:p w:rsidR="00897D54" w:rsidRDefault="00E84B56">
      <w:pPr>
        <w:spacing w:after="0"/>
        <w:rPr>
          <w:rFonts w:ascii="Times New Roman" w:hAnsi="Times New Roman"/>
          <w:b/>
          <w:noProof/>
        </w:rPr>
      </w:pPr>
      <w:r>
        <w:rPr>
          <w:rFonts w:ascii="Times New Roman" w:hAnsi="Times New Roman"/>
          <w:b/>
          <w:noProof/>
        </w:rPr>
        <w:t>Tableau 2 B</w:t>
      </w:r>
    </w:p>
    <w:p w:rsidR="00897D54" w:rsidRDefault="00E84B56">
      <w:pPr>
        <w:rPr>
          <w:b/>
          <w:noProof/>
          <w:u w:val="single"/>
        </w:rPr>
      </w:pPr>
      <w:r>
        <w:rPr>
          <w:noProof/>
          <w:lang w:val="en-GB" w:eastAsia="en-GB" w:bidi="ar-SA"/>
        </w:rPr>
        <w:drawing>
          <wp:inline distT="0" distB="0" distL="0" distR="0">
            <wp:extent cx="4890770" cy="4582795"/>
            <wp:effectExtent l="0" t="0" r="508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0770" cy="4582795"/>
                    </a:xfrm>
                    <a:prstGeom prst="rect">
                      <a:avLst/>
                    </a:prstGeom>
                    <a:noFill/>
                    <a:ln>
                      <a:noFill/>
                    </a:ln>
                  </pic:spPr>
                </pic:pic>
              </a:graphicData>
            </a:graphic>
          </wp:inline>
        </w:drawing>
      </w:r>
    </w:p>
    <w:p w:rsidR="00897D54" w:rsidRDefault="00E84B56">
      <w:pPr>
        <w:jc w:val="both"/>
        <w:rPr>
          <w:rFonts w:ascii="Times New Roman" w:hAnsi="Times New Roman"/>
          <w:noProof/>
        </w:rPr>
      </w:pPr>
      <w:r>
        <w:rPr>
          <w:rFonts w:ascii="Times New Roman" w:hAnsi="Times New Roman"/>
          <w:noProof/>
        </w:rPr>
        <w:t xml:space="preserve">Au 31 décembre 2015, 6 652 AC étaient en service à la Commission. Le GF le plus représenté est le niveau GFII, avec près de 37 % des agents contractuels en 2015 — soit une légère diminution par rapport à la part enregistrée l'année précédente (39 %). Ces agents exercent pour la plupart des tâches de secrétariat ou d’autres tâches similaires, mais aussi par exemple des tâches de puériculture. </w:t>
      </w:r>
    </w:p>
    <w:p w:rsidR="00897D54" w:rsidRDefault="00E84B56">
      <w:pPr>
        <w:jc w:val="both"/>
        <w:rPr>
          <w:rFonts w:ascii="Times New Roman" w:hAnsi="Times New Roman" w:cs="Times New Roman"/>
          <w:noProof/>
        </w:rPr>
      </w:pPr>
      <w:r>
        <w:rPr>
          <w:rFonts w:ascii="Times New Roman" w:hAnsi="Times New Roman"/>
          <w:noProof/>
        </w:rPr>
        <w:t>La répartition globale entre les hommes et les femmes est restée stable au fil des ans. En 2015, l’équilibre hommes/femmes a été atteint dans le GFIV. La répartition par genre dans les autres GF est stable depuis 2011. On retrouve une proportion nettement plus élevée de femmes que d'hommes dans le GFII (83,5% pour 2015) et, dans une moindre mesure, dans le GFIII (60 % pour 2015). Inversement, la présence masculine est plus importante dans le GFI (63,7 % d'hommes en 2015).</w:t>
      </w:r>
    </w:p>
    <w:p w:rsidR="00897D54" w:rsidRDefault="00E84B56">
      <w:pPr>
        <w:pStyle w:val="ManualHeading1"/>
        <w:rPr>
          <w:noProof/>
        </w:rPr>
      </w:pPr>
      <w:bookmarkStart w:id="13" w:name="_Toc306183904"/>
      <w:bookmarkStart w:id="14" w:name="_Toc411605925"/>
      <w:bookmarkStart w:id="15" w:name="_Toc484003809"/>
      <w:bookmarkStart w:id="16" w:name="_Toc485024048"/>
      <w:r>
        <w:rPr>
          <w:noProof/>
        </w:rPr>
        <w:t>4.</w:t>
      </w:r>
      <w:r>
        <w:rPr>
          <w:noProof/>
        </w:rPr>
        <w:tab/>
        <w:t>Répartition des agents contractuels de la Commission par nationalité</w:t>
      </w:r>
      <w:bookmarkEnd w:id="13"/>
      <w:bookmarkEnd w:id="14"/>
      <w:bookmarkEnd w:id="15"/>
      <w:bookmarkEnd w:id="16"/>
    </w:p>
    <w:p w:rsidR="00897D54" w:rsidRDefault="00897D54">
      <w:pPr>
        <w:keepNext/>
        <w:keepLines/>
        <w:jc w:val="both"/>
        <w:rPr>
          <w:rFonts w:ascii="Times New Roman" w:hAnsi="Times New Roman"/>
          <w:noProof/>
        </w:rPr>
      </w:pPr>
    </w:p>
    <w:p w:rsidR="00897D54" w:rsidRDefault="00E84B56">
      <w:pPr>
        <w:keepNext/>
        <w:keepLines/>
        <w:jc w:val="both"/>
        <w:rPr>
          <w:rFonts w:ascii="Times New Roman" w:hAnsi="Times New Roman"/>
          <w:noProof/>
        </w:rPr>
      </w:pPr>
      <w:r>
        <w:rPr>
          <w:rFonts w:ascii="Times New Roman" w:hAnsi="Times New Roman"/>
          <w:noProof/>
        </w:rPr>
        <w:t>Il convient de noter que, de même que pour les fonctionnaires et les agents temporaires, l'engagement des agents contractuels s’effectue sur la base du profil recherché, des compétences et des connaissances linguistiques des candidats, sans que de quelconques quotas nationaux ne soient fixés.</w:t>
      </w:r>
    </w:p>
    <w:p w:rsidR="00897D54" w:rsidRDefault="00E84B56">
      <w:pPr>
        <w:keepNext/>
        <w:keepLines/>
        <w:jc w:val="both"/>
        <w:rPr>
          <w:rFonts w:ascii="Times New Roman" w:hAnsi="Times New Roman"/>
          <w:noProof/>
        </w:rPr>
      </w:pPr>
      <w:r>
        <w:rPr>
          <w:rFonts w:ascii="Times New Roman" w:hAnsi="Times New Roman"/>
          <w:noProof/>
        </w:rPr>
        <w:t xml:space="preserve">En 2015, l’ensemble des États membres étaient représentés dans tous les groupes de fonctions à l’exception des Autrichiens dans le GFI. Les citoyens des États membres les plus représentés parmi les AC sont par ordre décroissant: les Belges, les Italiens, les Français, les Espagnols et les Roumains, suivis des Grecs et des Polonais. La part des quatre premières nationalités est identique depuis 2005 (quelque 60 %). Le Royaume-Uni et l'Allemagne, tout comme la Pologne et les Pays-Bas, ont une représentation plutôt faible par rapport à leur population. Inversement, la Belgique et l'Italie sont surreprésentées par rapport à leur population. </w:t>
      </w:r>
    </w:p>
    <w:p w:rsidR="00897D54" w:rsidRDefault="00E84B56">
      <w:pPr>
        <w:jc w:val="both"/>
        <w:rPr>
          <w:rFonts w:ascii="Times New Roman" w:hAnsi="Times New Roman"/>
          <w:noProof/>
        </w:rPr>
      </w:pPr>
      <w:r>
        <w:rPr>
          <w:rFonts w:ascii="Times New Roman" w:hAnsi="Times New Roman"/>
          <w:noProof/>
        </w:rPr>
        <w:t>Il convient de noter que, suite à l'adhésion de la Croatie à l'Union européenne le 1</w:t>
      </w:r>
      <w:r>
        <w:rPr>
          <w:rFonts w:ascii="Times New Roman" w:hAnsi="Times New Roman"/>
          <w:noProof/>
          <w:vertAlign w:val="superscript"/>
        </w:rPr>
        <w:t>er</w:t>
      </w:r>
      <w:r>
        <w:rPr>
          <w:rFonts w:ascii="Times New Roman" w:hAnsi="Times New Roman"/>
          <w:noProof/>
        </w:rPr>
        <w:t xml:space="preserve"> juillet 2013, 42 agents contractuels croates étaient en service à la Commission au 31 décembre 2015.</w:t>
      </w:r>
    </w:p>
    <w:p w:rsidR="00897D54" w:rsidRDefault="00E84B56">
      <w:pPr>
        <w:jc w:val="both"/>
        <w:rPr>
          <w:b/>
          <w:noProof/>
        </w:rPr>
      </w:pPr>
      <w:r>
        <w:rPr>
          <w:rFonts w:ascii="Times New Roman" w:hAnsi="Times New Roman"/>
          <w:noProof/>
        </w:rPr>
        <w:t xml:space="preserve">La répartition par nationalité est influencée par une combinaison de facteurs, notamment la proximité géographique de la localisation du siège de l’institution européenne (pour la Commission, principalement Bruxelles, Luxembourg et Ispra), le niveau des salaires et la durée des contrats proposés. De fait, les candidats ont tendance à accepter plus facilement un engagement à durée déterminée s’ils sont résidents ou voisins où l’institution les appelle à travailler. En effet, il est parfois difficile pour un candidat ayant une famille de quitter son pays d’origine et de venir s’installer au siège de l’institution pour une période relativement courte (sur la base des dispositions générales d’exécution adoptées sur la base de l’article 79, paragraphe 2, du RAA, la durée du premier contrat est d’un an seulement). Comme le montrent les tableaux ci-après, cela est notamment vrai pour les agents contractuels GFI et GFII, tandis que les agents contractuels GFIV ont une composition moins déséquilibrée géographiquement. </w:t>
      </w:r>
    </w:p>
    <w:p w:rsidR="00897D54" w:rsidRDefault="00E84B56">
      <w:pPr>
        <w:pStyle w:val="NormalCentered"/>
        <w:tabs>
          <w:tab w:val="left" w:pos="0"/>
        </w:tabs>
        <w:spacing w:before="0" w:after="0"/>
        <w:rPr>
          <w:b/>
          <w:noProof/>
          <w:sz w:val="22"/>
        </w:rPr>
      </w:pPr>
      <w:r>
        <w:rPr>
          <w:b/>
          <w:noProof/>
          <w:sz w:val="22"/>
        </w:rPr>
        <w:t xml:space="preserve">Tableau 3 A </w:t>
      </w:r>
      <w:r>
        <w:rPr>
          <w:noProof/>
        </w:rPr>
        <w:tab/>
      </w:r>
      <w:r>
        <w:rPr>
          <w:b/>
          <w:noProof/>
          <w:sz w:val="22"/>
        </w:rPr>
        <w:t>Répartition des agents contractuels de la Commission par nationalité et genre en 2015</w:t>
      </w:r>
      <w:r>
        <w:rPr>
          <w:rStyle w:val="FootnoteReference"/>
          <w:b/>
          <w:noProof/>
          <w:sz w:val="22"/>
        </w:rPr>
        <w:footnoteReference w:id="4"/>
      </w:r>
    </w:p>
    <w:p w:rsidR="00897D54" w:rsidRDefault="00897D54">
      <w:pPr>
        <w:pStyle w:val="NormalCentered"/>
        <w:spacing w:after="0"/>
        <w:jc w:val="left"/>
        <w:rPr>
          <w:b/>
          <w:noProof/>
        </w:rPr>
      </w:pPr>
    </w:p>
    <w:p w:rsidR="00897D54" w:rsidRDefault="00E84B56">
      <w:pPr>
        <w:pStyle w:val="NormalCentered"/>
        <w:spacing w:after="0"/>
        <w:jc w:val="left"/>
        <w:rPr>
          <w:b/>
          <w:noProof/>
        </w:rPr>
      </w:pPr>
      <w:r>
        <w:rPr>
          <w:noProof/>
          <w:lang w:val="en-GB" w:eastAsia="en-GB" w:bidi="ar-SA"/>
        </w:rPr>
        <w:drawing>
          <wp:inline distT="0" distB="0" distL="0" distR="0">
            <wp:extent cx="5761355" cy="319934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1355" cy="3199342"/>
                    </a:xfrm>
                    <a:prstGeom prst="rect">
                      <a:avLst/>
                    </a:prstGeom>
                    <a:noFill/>
                    <a:ln>
                      <a:noFill/>
                    </a:ln>
                  </pic:spPr>
                </pic:pic>
              </a:graphicData>
            </a:graphic>
          </wp:inline>
        </w:drawing>
      </w:r>
    </w:p>
    <w:p w:rsidR="00897D54" w:rsidRDefault="00897D54">
      <w:pPr>
        <w:pStyle w:val="NormalCentered"/>
        <w:spacing w:after="0"/>
        <w:jc w:val="left"/>
        <w:rPr>
          <w:b/>
          <w:noProof/>
        </w:rPr>
      </w:pPr>
    </w:p>
    <w:p w:rsidR="00897D54" w:rsidRDefault="00E84B56">
      <w:pPr>
        <w:pStyle w:val="NormalCentered"/>
        <w:spacing w:after="0"/>
        <w:jc w:val="left"/>
        <w:rPr>
          <w:noProof/>
        </w:rPr>
      </w:pPr>
      <w:r>
        <w:rPr>
          <w:b/>
          <w:noProof/>
        </w:rPr>
        <w:t>Tableau 3 B</w:t>
      </w:r>
    </w:p>
    <w:p w:rsidR="00897D54" w:rsidRDefault="00E84B56">
      <w:pPr>
        <w:pStyle w:val="NormalCentered"/>
        <w:rPr>
          <w:noProof/>
        </w:rPr>
      </w:pPr>
      <w:r>
        <w:rPr>
          <w:noProof/>
          <w:lang w:val="en-GB" w:eastAsia="en-GB" w:bidi="ar-SA"/>
        </w:rPr>
        <w:drawing>
          <wp:inline distT="0" distB="0" distL="0" distR="0">
            <wp:extent cx="4731385" cy="59010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1385" cy="5901055"/>
                    </a:xfrm>
                    <a:prstGeom prst="rect">
                      <a:avLst/>
                    </a:prstGeom>
                    <a:noFill/>
                    <a:ln>
                      <a:noFill/>
                    </a:ln>
                  </pic:spPr>
                </pic:pic>
              </a:graphicData>
            </a:graphic>
          </wp:inline>
        </w:drawing>
      </w:r>
    </w:p>
    <w:p w:rsidR="00897D54" w:rsidRDefault="00897D54">
      <w:pPr>
        <w:jc w:val="both"/>
        <w:rPr>
          <w:rFonts w:ascii="Times New Roman" w:hAnsi="Times New Roman"/>
          <w:noProof/>
        </w:rPr>
      </w:pPr>
    </w:p>
    <w:p w:rsidR="00897D54" w:rsidRDefault="00E84B56">
      <w:pPr>
        <w:jc w:val="both"/>
        <w:rPr>
          <w:noProof/>
        </w:rPr>
      </w:pPr>
      <w:r>
        <w:rPr>
          <w:noProof/>
        </w:rPr>
        <w:br w:type="page"/>
      </w:r>
    </w:p>
    <w:p w:rsidR="00897D54" w:rsidRDefault="00897D54">
      <w:pPr>
        <w:rPr>
          <w:noProof/>
        </w:rPr>
      </w:pPr>
    </w:p>
    <w:p w:rsidR="00897D54" w:rsidRDefault="00E84B56">
      <w:pPr>
        <w:keepNext/>
        <w:keepLines/>
        <w:jc w:val="both"/>
        <w:rPr>
          <w:rFonts w:ascii="Times New Roman" w:hAnsi="Times New Roman" w:cs="Times New Roman"/>
          <w:noProof/>
        </w:rPr>
      </w:pPr>
      <w:r>
        <w:rPr>
          <w:rFonts w:ascii="Times New Roman" w:hAnsi="Times New Roman"/>
          <w:noProof/>
        </w:rPr>
        <w:t xml:space="preserve">Le tableau 4 ci-dessous permet d’analyser la répartition par GF, par nationalité et par genre. </w:t>
      </w:r>
    </w:p>
    <w:p w:rsidR="00897D54" w:rsidRDefault="00E84B56">
      <w:pPr>
        <w:pStyle w:val="NormalCentered"/>
        <w:jc w:val="left"/>
        <w:rPr>
          <w:b/>
          <w:noProof/>
          <w:sz w:val="22"/>
        </w:rPr>
      </w:pPr>
      <w:r>
        <w:rPr>
          <w:b/>
          <w:noProof/>
          <w:sz w:val="22"/>
        </w:rPr>
        <w:t xml:space="preserve">Tableau 4 </w:t>
      </w:r>
      <w:r>
        <w:rPr>
          <w:noProof/>
        </w:rPr>
        <w:tab/>
      </w:r>
      <w:r>
        <w:rPr>
          <w:b/>
          <w:noProof/>
          <w:sz w:val="22"/>
        </w:rPr>
        <w:t>Répartition des agents contractuels par genre, groupe de fonction et nationalité</w:t>
      </w:r>
      <w:r>
        <w:rPr>
          <w:rStyle w:val="FootnoteReference"/>
          <w:b/>
          <w:noProof/>
          <w:sz w:val="22"/>
        </w:rPr>
        <w:footnoteReference w:id="5"/>
      </w:r>
    </w:p>
    <w:p w:rsidR="00897D54" w:rsidRDefault="00897D54">
      <w:pPr>
        <w:keepNext/>
        <w:keepLines/>
        <w:jc w:val="both"/>
        <w:rPr>
          <w:rFonts w:ascii="Times New Roman" w:hAnsi="Times New Roman" w:cs="Times New Roman"/>
          <w:b/>
          <w:noProof/>
        </w:rPr>
      </w:pPr>
    </w:p>
    <w:p w:rsidR="00897D54" w:rsidRDefault="00897D54">
      <w:pPr>
        <w:rPr>
          <w:noProof/>
          <w:sz w:val="16"/>
          <w:szCs w:val="16"/>
        </w:rPr>
      </w:pPr>
    </w:p>
    <w:tbl>
      <w:tblPr>
        <w:tblpPr w:leftFromText="180" w:rightFromText="180" w:vertAnchor="text" w:horzAnchor="margin" w:tblpY="-343"/>
        <w:tblW w:w="1342" w:type="dxa"/>
        <w:tblLook w:val="0000" w:firstRow="0" w:lastRow="0" w:firstColumn="0" w:lastColumn="0" w:noHBand="0" w:noVBand="0"/>
      </w:tblPr>
      <w:tblGrid>
        <w:gridCol w:w="1342"/>
      </w:tblGrid>
      <w:tr w:rsidR="00897D54">
        <w:trPr>
          <w:trHeight w:val="258"/>
        </w:trPr>
        <w:tc>
          <w:tcPr>
            <w:tcW w:w="1342"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rsidR="00897D54" w:rsidRDefault="00E84B56">
            <w:pPr>
              <w:spacing w:after="0"/>
              <w:jc w:val="center"/>
              <w:rPr>
                <w:rFonts w:ascii="Arial" w:hAnsi="Arial" w:cs="Arial"/>
                <w:b/>
                <w:bCs/>
                <w:noProof/>
                <w:color w:val="000000"/>
              </w:rPr>
            </w:pPr>
            <w:r>
              <w:rPr>
                <w:rFonts w:ascii="Arial" w:hAnsi="Arial"/>
                <w:b/>
                <w:noProof/>
                <w:color w:val="000000"/>
              </w:rPr>
              <w:t>GFIV</w:t>
            </w:r>
          </w:p>
        </w:tc>
      </w:tr>
    </w:tbl>
    <w:p w:rsidR="00897D54" w:rsidRDefault="00897D54">
      <w:pPr>
        <w:jc w:val="center"/>
        <w:rPr>
          <w:noProof/>
        </w:rPr>
      </w:pPr>
      <w:bookmarkStart w:id="17" w:name="_Toc306183905"/>
    </w:p>
    <w:p w:rsidR="00897D54" w:rsidRDefault="00E84B56">
      <w:pPr>
        <w:jc w:val="center"/>
        <w:rPr>
          <w:noProof/>
        </w:rPr>
      </w:pPr>
      <w:r>
        <w:rPr>
          <w:noProof/>
          <w:lang w:val="en-GB" w:eastAsia="en-GB" w:bidi="ar-SA"/>
        </w:rPr>
        <w:drawing>
          <wp:inline distT="0" distB="0" distL="0" distR="0">
            <wp:extent cx="5347970" cy="562483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47970" cy="5624830"/>
                    </a:xfrm>
                    <a:prstGeom prst="rect">
                      <a:avLst/>
                    </a:prstGeom>
                    <a:noFill/>
                    <a:ln>
                      <a:noFill/>
                    </a:ln>
                  </pic:spPr>
                </pic:pic>
              </a:graphicData>
            </a:graphic>
          </wp:inline>
        </w:drawing>
      </w:r>
    </w:p>
    <w:p w:rsidR="00897D54" w:rsidRDefault="00E84B56">
      <w:pPr>
        <w:jc w:val="center"/>
        <w:rPr>
          <w:noProof/>
        </w:rPr>
      </w:pPr>
      <w:r>
        <w:rPr>
          <w:noProof/>
        </w:rPr>
        <w:br w:type="page"/>
      </w:r>
    </w:p>
    <w:tbl>
      <w:tblPr>
        <w:tblpPr w:leftFromText="180" w:rightFromText="180" w:vertAnchor="text" w:horzAnchor="margin" w:tblpY="-343"/>
        <w:tblW w:w="1342" w:type="dxa"/>
        <w:tblLook w:val="0000" w:firstRow="0" w:lastRow="0" w:firstColumn="0" w:lastColumn="0" w:noHBand="0" w:noVBand="0"/>
      </w:tblPr>
      <w:tblGrid>
        <w:gridCol w:w="1342"/>
      </w:tblGrid>
      <w:tr w:rsidR="00897D54">
        <w:trPr>
          <w:trHeight w:val="258"/>
        </w:trPr>
        <w:tc>
          <w:tcPr>
            <w:tcW w:w="1342"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rsidR="00897D54" w:rsidRDefault="00E84B56">
            <w:pPr>
              <w:spacing w:after="0"/>
              <w:jc w:val="center"/>
              <w:rPr>
                <w:rFonts w:ascii="Arial" w:hAnsi="Arial" w:cs="Arial"/>
                <w:b/>
                <w:bCs/>
                <w:noProof/>
                <w:color w:val="000000"/>
              </w:rPr>
            </w:pPr>
            <w:r>
              <w:rPr>
                <w:rFonts w:ascii="Arial" w:hAnsi="Arial"/>
                <w:b/>
                <w:noProof/>
                <w:color w:val="000000"/>
              </w:rPr>
              <w:t>GFIII</w:t>
            </w:r>
          </w:p>
        </w:tc>
      </w:tr>
    </w:tbl>
    <w:p w:rsidR="00897D54" w:rsidRDefault="00897D54">
      <w:pPr>
        <w:spacing w:after="0"/>
        <w:jc w:val="center"/>
        <w:rPr>
          <w:noProof/>
        </w:rPr>
      </w:pPr>
    </w:p>
    <w:p w:rsidR="00897D54" w:rsidRDefault="00897D54">
      <w:pPr>
        <w:spacing w:after="0"/>
        <w:jc w:val="center"/>
        <w:rPr>
          <w:noProof/>
        </w:rPr>
      </w:pPr>
    </w:p>
    <w:p w:rsidR="00897D54" w:rsidRDefault="00E84B56">
      <w:pPr>
        <w:jc w:val="center"/>
        <w:rPr>
          <w:noProof/>
        </w:rPr>
      </w:pPr>
      <w:r>
        <w:rPr>
          <w:noProof/>
          <w:lang w:val="en-GB" w:eastAsia="en-GB" w:bidi="ar-SA"/>
        </w:rPr>
        <w:drawing>
          <wp:inline distT="0" distB="0" distL="0" distR="0">
            <wp:extent cx="5347970" cy="562483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47970" cy="5624830"/>
                    </a:xfrm>
                    <a:prstGeom prst="rect">
                      <a:avLst/>
                    </a:prstGeom>
                    <a:noFill/>
                    <a:ln>
                      <a:noFill/>
                    </a:ln>
                  </pic:spPr>
                </pic:pic>
              </a:graphicData>
            </a:graphic>
          </wp:inline>
        </w:drawing>
      </w:r>
    </w:p>
    <w:p w:rsidR="00897D54" w:rsidRDefault="00E84B56">
      <w:pPr>
        <w:jc w:val="center"/>
        <w:rPr>
          <w:noProof/>
        </w:rPr>
      </w:pPr>
      <w:r>
        <w:rPr>
          <w:noProof/>
        </w:rPr>
        <w:br w:type="page"/>
      </w:r>
    </w:p>
    <w:p w:rsidR="00897D54" w:rsidRDefault="00897D54">
      <w:pPr>
        <w:spacing w:after="0"/>
        <w:jc w:val="center"/>
        <w:rPr>
          <w:noProof/>
        </w:rPr>
      </w:pPr>
    </w:p>
    <w:p w:rsidR="00897D54" w:rsidRDefault="00897D54">
      <w:pPr>
        <w:spacing w:after="0"/>
        <w:jc w:val="center"/>
        <w:rPr>
          <w:noProof/>
        </w:rPr>
      </w:pPr>
    </w:p>
    <w:p w:rsidR="00897D54" w:rsidRDefault="00897D54">
      <w:pPr>
        <w:spacing w:after="0"/>
        <w:jc w:val="center"/>
        <w:rPr>
          <w:noProof/>
        </w:rPr>
      </w:pPr>
    </w:p>
    <w:tbl>
      <w:tblPr>
        <w:tblpPr w:leftFromText="180" w:rightFromText="180" w:vertAnchor="text" w:horzAnchor="margin" w:tblpY="-343"/>
        <w:tblW w:w="1273" w:type="dxa"/>
        <w:tblLook w:val="0000" w:firstRow="0" w:lastRow="0" w:firstColumn="0" w:lastColumn="0" w:noHBand="0" w:noVBand="0"/>
      </w:tblPr>
      <w:tblGrid>
        <w:gridCol w:w="1273"/>
      </w:tblGrid>
      <w:tr w:rsidR="00897D54">
        <w:trPr>
          <w:trHeight w:val="269"/>
        </w:trPr>
        <w:tc>
          <w:tcPr>
            <w:tcW w:w="1273"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rsidR="00897D54" w:rsidRDefault="00E84B56">
            <w:pPr>
              <w:spacing w:after="0"/>
              <w:jc w:val="center"/>
              <w:rPr>
                <w:rFonts w:ascii="Arial" w:hAnsi="Arial" w:cs="Arial"/>
                <w:b/>
                <w:bCs/>
                <w:noProof/>
                <w:color w:val="000000"/>
              </w:rPr>
            </w:pPr>
            <w:r>
              <w:rPr>
                <w:rFonts w:ascii="Arial" w:hAnsi="Arial"/>
                <w:b/>
                <w:noProof/>
                <w:color w:val="000000"/>
              </w:rPr>
              <w:t>GFII</w:t>
            </w:r>
          </w:p>
        </w:tc>
      </w:tr>
    </w:tbl>
    <w:p w:rsidR="00897D54" w:rsidRDefault="00897D54">
      <w:pPr>
        <w:rPr>
          <w:noProof/>
          <w:sz w:val="8"/>
          <w:szCs w:val="8"/>
        </w:rPr>
      </w:pPr>
    </w:p>
    <w:p w:rsidR="00897D54" w:rsidRDefault="00E84B56">
      <w:pPr>
        <w:rPr>
          <w:noProof/>
          <w:sz w:val="8"/>
          <w:szCs w:val="8"/>
        </w:rPr>
      </w:pPr>
      <w:r>
        <w:rPr>
          <w:noProof/>
          <w:lang w:val="en-GB" w:eastAsia="en-GB" w:bidi="ar-SA"/>
        </w:rPr>
        <w:drawing>
          <wp:inline distT="0" distB="0" distL="0" distR="0">
            <wp:extent cx="5347970" cy="562483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7970" cy="5624830"/>
                    </a:xfrm>
                    <a:prstGeom prst="rect">
                      <a:avLst/>
                    </a:prstGeom>
                    <a:noFill/>
                    <a:ln>
                      <a:noFill/>
                    </a:ln>
                  </pic:spPr>
                </pic:pic>
              </a:graphicData>
            </a:graphic>
          </wp:inline>
        </w:drawing>
      </w:r>
    </w:p>
    <w:p w:rsidR="00897D54" w:rsidRDefault="00E84B56">
      <w:pPr>
        <w:spacing w:after="0" w:line="240" w:lineRule="auto"/>
        <w:rPr>
          <w:noProof/>
          <w:sz w:val="8"/>
          <w:szCs w:val="8"/>
        </w:rPr>
      </w:pPr>
      <w:r>
        <w:rPr>
          <w:noProof/>
        </w:rPr>
        <w:br w:type="page"/>
      </w:r>
    </w:p>
    <w:p w:rsidR="00897D54" w:rsidRDefault="00897D54">
      <w:pPr>
        <w:jc w:val="center"/>
        <w:rPr>
          <w:noProof/>
          <w:sz w:val="8"/>
          <w:szCs w:val="8"/>
        </w:rPr>
      </w:pPr>
    </w:p>
    <w:tbl>
      <w:tblPr>
        <w:tblpPr w:leftFromText="180" w:rightFromText="180" w:vertAnchor="text" w:horzAnchor="margin" w:tblpY="108"/>
        <w:tblW w:w="1380" w:type="dxa"/>
        <w:tblLook w:val="0000" w:firstRow="0" w:lastRow="0" w:firstColumn="0" w:lastColumn="0" w:noHBand="0" w:noVBand="0"/>
      </w:tblPr>
      <w:tblGrid>
        <w:gridCol w:w="1380"/>
      </w:tblGrid>
      <w:tr w:rsidR="00897D54">
        <w:trPr>
          <w:trHeight w:val="345"/>
        </w:trPr>
        <w:tc>
          <w:tcPr>
            <w:tcW w:w="1380"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rsidR="00897D54" w:rsidRDefault="00E84B56">
            <w:pPr>
              <w:keepLines/>
              <w:spacing w:after="0"/>
              <w:jc w:val="center"/>
              <w:rPr>
                <w:rFonts w:ascii="Arial" w:hAnsi="Arial" w:cs="Arial"/>
                <w:b/>
                <w:bCs/>
                <w:noProof/>
                <w:color w:val="000000"/>
              </w:rPr>
            </w:pPr>
            <w:r>
              <w:rPr>
                <w:rFonts w:ascii="Arial" w:hAnsi="Arial"/>
                <w:b/>
                <w:noProof/>
                <w:color w:val="000000"/>
              </w:rPr>
              <w:t>GFI</w:t>
            </w:r>
          </w:p>
        </w:tc>
      </w:tr>
    </w:tbl>
    <w:p w:rsidR="00897D54" w:rsidRDefault="00897D54">
      <w:pPr>
        <w:jc w:val="center"/>
        <w:rPr>
          <w:noProof/>
        </w:rPr>
      </w:pPr>
    </w:p>
    <w:p w:rsidR="00897D54" w:rsidRDefault="00897D54">
      <w:pPr>
        <w:jc w:val="center"/>
        <w:rPr>
          <w:noProof/>
        </w:rPr>
      </w:pPr>
    </w:p>
    <w:p w:rsidR="00897D54" w:rsidRDefault="00E84B56">
      <w:pPr>
        <w:spacing w:after="0" w:line="240" w:lineRule="auto"/>
        <w:rPr>
          <w:rFonts w:ascii="Times New Roman" w:eastAsia="Times New Roman" w:hAnsi="Times New Roman" w:cs="Times New Roman"/>
          <w:b/>
          <w:smallCaps/>
          <w:noProof/>
          <w:sz w:val="24"/>
          <w:szCs w:val="24"/>
        </w:rPr>
      </w:pPr>
      <w:bookmarkStart w:id="18" w:name="_Toc411605926"/>
      <w:r>
        <w:rPr>
          <w:noProof/>
          <w:lang w:val="en-GB" w:eastAsia="en-GB" w:bidi="ar-SA"/>
        </w:rPr>
        <w:drawing>
          <wp:inline distT="0" distB="0" distL="0" distR="0">
            <wp:extent cx="5347970" cy="562483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7970" cy="5624830"/>
                    </a:xfrm>
                    <a:prstGeom prst="rect">
                      <a:avLst/>
                    </a:prstGeom>
                    <a:noFill/>
                    <a:ln>
                      <a:noFill/>
                    </a:ln>
                  </pic:spPr>
                </pic:pic>
              </a:graphicData>
            </a:graphic>
          </wp:inline>
        </w:drawing>
      </w:r>
    </w:p>
    <w:p w:rsidR="00897D54" w:rsidRDefault="00897D54">
      <w:pPr>
        <w:rPr>
          <w:noProof/>
        </w:rPr>
      </w:pPr>
    </w:p>
    <w:p w:rsidR="00897D54" w:rsidRDefault="00E84B56">
      <w:pPr>
        <w:pStyle w:val="ManualHeading1"/>
        <w:ind w:left="0" w:firstLine="0"/>
        <w:rPr>
          <w:noProof/>
        </w:rPr>
      </w:pPr>
      <w:bookmarkStart w:id="19" w:name="_Toc484003810"/>
      <w:bookmarkStart w:id="20" w:name="_Toc485024049"/>
      <w:r>
        <w:rPr>
          <w:noProof/>
        </w:rPr>
        <w:t>5.</w:t>
      </w:r>
      <w:r>
        <w:rPr>
          <w:noProof/>
        </w:rPr>
        <w:tab/>
        <w:t>Répartition des agents contractuels de la Commission par DG</w:t>
      </w:r>
      <w:bookmarkEnd w:id="17"/>
      <w:bookmarkEnd w:id="18"/>
      <w:bookmarkEnd w:id="19"/>
      <w:bookmarkEnd w:id="20"/>
    </w:p>
    <w:p w:rsidR="00897D54" w:rsidRDefault="00E84B56">
      <w:pPr>
        <w:jc w:val="both"/>
        <w:rPr>
          <w:rFonts w:ascii="Times New Roman" w:hAnsi="Times New Roman"/>
          <w:noProof/>
        </w:rPr>
      </w:pPr>
      <w:r>
        <w:rPr>
          <w:rFonts w:ascii="Times New Roman" w:hAnsi="Times New Roman"/>
          <w:noProof/>
        </w:rPr>
        <w:t xml:space="preserve">Dans la section ci-dessous, les données concernant les AC sont présentées par DG. On constate des différences importantes entre les DG, qui s'expliquent notamment par la nature de leurs tâches. Par exemple, la DG DEVCO emploie en majorité des GFIV, </w:t>
      </w:r>
      <w:r>
        <w:rPr>
          <w:rStyle w:val="text-big-bold"/>
          <w:rFonts w:ascii="Times New Roman" w:hAnsi="Times New Roman"/>
          <w:noProof/>
        </w:rPr>
        <w:t>chargés d’aide et de coopération internationales ou des gestionnaires de programme, aussi</w:t>
      </w:r>
      <w:r>
        <w:rPr>
          <w:rFonts w:ascii="Times New Roman" w:hAnsi="Times New Roman"/>
          <w:noProof/>
        </w:rPr>
        <w:t xml:space="preserve"> bien en délégation qu’au siège</w:t>
      </w:r>
      <w:r>
        <w:rPr>
          <w:rStyle w:val="FootnoteReference"/>
          <w:rFonts w:ascii="Times New Roman" w:hAnsi="Times New Roman"/>
          <w:noProof/>
        </w:rPr>
        <w:footnoteReference w:id="6"/>
      </w:r>
      <w:r>
        <w:rPr>
          <w:rFonts w:ascii="Times New Roman" w:hAnsi="Times New Roman"/>
          <w:noProof/>
        </w:rPr>
        <w:t xml:space="preserve">. L’OIB, en revanche, emploie en majorité des assistants administratifs ou des puéricultrices qui relèvent du GF II. </w:t>
      </w:r>
    </w:p>
    <w:p w:rsidR="00897D54" w:rsidRDefault="00E84B56">
      <w:pPr>
        <w:pStyle w:val="ManualHeading2"/>
        <w:rPr>
          <w:noProof/>
        </w:rPr>
      </w:pPr>
      <w:bookmarkStart w:id="21" w:name="_Toc411605927"/>
      <w:bookmarkStart w:id="22" w:name="_Toc484003811"/>
      <w:bookmarkStart w:id="23" w:name="_Toc485024050"/>
      <w:r>
        <w:rPr>
          <w:noProof/>
        </w:rPr>
        <w:t>5.1.</w:t>
      </w:r>
      <w:r>
        <w:rPr>
          <w:noProof/>
        </w:rPr>
        <w:tab/>
        <w:t>Répartition par genre et par DG</w:t>
      </w:r>
      <w:r>
        <w:rPr>
          <w:rStyle w:val="FootnoteReference"/>
          <w:noProof/>
        </w:rPr>
        <w:footnoteReference w:id="7"/>
      </w:r>
      <w:bookmarkEnd w:id="21"/>
      <w:bookmarkEnd w:id="22"/>
      <w:bookmarkEnd w:id="23"/>
    </w:p>
    <w:p w:rsidR="00897D54" w:rsidRDefault="00897D54">
      <w:pPr>
        <w:pStyle w:val="Text1"/>
        <w:rPr>
          <w:noProof/>
        </w:rPr>
      </w:pPr>
    </w:p>
    <w:p w:rsidR="00897D54" w:rsidRDefault="00E84B56">
      <w:pPr>
        <w:pStyle w:val="Text1"/>
        <w:spacing w:after="240"/>
        <w:ind w:left="0"/>
        <w:rPr>
          <w:b/>
          <w:noProof/>
          <w:sz w:val="22"/>
        </w:rPr>
      </w:pPr>
      <w:r>
        <w:rPr>
          <w:b/>
          <w:noProof/>
          <w:sz w:val="22"/>
        </w:rPr>
        <w:t xml:space="preserve">Tableau 5 </w:t>
      </w:r>
      <w:r>
        <w:rPr>
          <w:noProof/>
        </w:rPr>
        <w:tab/>
      </w:r>
      <w:r>
        <w:rPr>
          <w:b/>
          <w:noProof/>
          <w:sz w:val="22"/>
        </w:rPr>
        <w:t>Répartition par genre, DG et deux groupes de GF</w:t>
      </w:r>
    </w:p>
    <w:p w:rsidR="00897D54" w:rsidRDefault="00E84B56">
      <w:pPr>
        <w:rPr>
          <w:b/>
          <w:noProof/>
        </w:rPr>
      </w:pPr>
      <w:r>
        <w:rPr>
          <w:noProof/>
          <w:lang w:val="en-GB" w:eastAsia="en-GB" w:bidi="ar-SA"/>
        </w:rPr>
        <w:drawing>
          <wp:inline distT="0" distB="0" distL="0" distR="0">
            <wp:extent cx="5761355" cy="6089926"/>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1355" cy="6089926"/>
                    </a:xfrm>
                    <a:prstGeom prst="rect">
                      <a:avLst/>
                    </a:prstGeom>
                    <a:noFill/>
                    <a:ln>
                      <a:noFill/>
                    </a:ln>
                  </pic:spPr>
                </pic:pic>
              </a:graphicData>
            </a:graphic>
          </wp:inline>
        </w:drawing>
      </w:r>
    </w:p>
    <w:p w:rsidR="00897D54" w:rsidRDefault="00897D54">
      <w:pPr>
        <w:jc w:val="center"/>
        <w:rPr>
          <w:noProof/>
        </w:rPr>
      </w:pPr>
    </w:p>
    <w:p w:rsidR="00897D54" w:rsidRDefault="00E84B56">
      <w:pPr>
        <w:spacing w:after="0" w:line="240" w:lineRule="auto"/>
        <w:rPr>
          <w:noProof/>
        </w:rPr>
      </w:pPr>
      <w:r>
        <w:rPr>
          <w:noProof/>
        </w:rPr>
        <w:br w:type="page"/>
      </w:r>
    </w:p>
    <w:p w:rsidR="00897D54" w:rsidRDefault="00E84B56">
      <w:pPr>
        <w:pStyle w:val="ManualHeading2"/>
        <w:rPr>
          <w:noProof/>
        </w:rPr>
      </w:pPr>
      <w:bookmarkStart w:id="24" w:name="_Toc306183907"/>
      <w:bookmarkStart w:id="25" w:name="_Toc411605928"/>
      <w:bookmarkStart w:id="26" w:name="_Toc484003812"/>
      <w:bookmarkStart w:id="27" w:name="_Toc485024051"/>
      <w:r>
        <w:rPr>
          <w:noProof/>
        </w:rPr>
        <w:t>5.2.</w:t>
      </w:r>
      <w:r>
        <w:rPr>
          <w:noProof/>
        </w:rPr>
        <w:tab/>
        <w:t>Répartition par type de contrat</w:t>
      </w:r>
      <w:r>
        <w:rPr>
          <w:rStyle w:val="FootnoteReference"/>
          <w:noProof/>
        </w:rPr>
        <w:footnoteReference w:id="8"/>
      </w:r>
      <w:bookmarkEnd w:id="24"/>
      <w:bookmarkEnd w:id="25"/>
      <w:bookmarkEnd w:id="26"/>
      <w:bookmarkEnd w:id="27"/>
    </w:p>
    <w:p w:rsidR="00897D54" w:rsidRDefault="00E84B56">
      <w:pPr>
        <w:pStyle w:val="ManualHeading3"/>
        <w:rPr>
          <w:noProof/>
        </w:rPr>
      </w:pPr>
      <w:bookmarkStart w:id="28" w:name="_Toc411605929"/>
      <w:bookmarkStart w:id="29" w:name="_Toc484003813"/>
      <w:bookmarkStart w:id="30" w:name="_Toc485024052"/>
      <w:r>
        <w:rPr>
          <w:noProof/>
        </w:rPr>
        <w:t>5.2.1</w:t>
      </w:r>
      <w:r>
        <w:rPr>
          <w:noProof/>
        </w:rPr>
        <w:tab/>
        <w:t>Agents contractuels</w:t>
      </w:r>
      <w:bookmarkEnd w:id="28"/>
      <w:r>
        <w:rPr>
          <w:noProof/>
        </w:rPr>
        <w:t xml:space="preserve"> 3 bis</w:t>
      </w:r>
      <w:bookmarkEnd w:id="29"/>
      <w:bookmarkEnd w:id="30"/>
    </w:p>
    <w:p w:rsidR="00897D54" w:rsidRDefault="00897D54">
      <w:pPr>
        <w:pStyle w:val="Text1"/>
        <w:rPr>
          <w:noProof/>
        </w:rPr>
      </w:pPr>
    </w:p>
    <w:p w:rsidR="00897D54" w:rsidRDefault="00E84B56">
      <w:pPr>
        <w:pStyle w:val="Text1"/>
        <w:spacing w:after="240"/>
        <w:ind w:left="0"/>
        <w:rPr>
          <w:b/>
          <w:noProof/>
          <w:sz w:val="22"/>
        </w:rPr>
      </w:pPr>
      <w:r>
        <w:rPr>
          <w:b/>
          <w:noProof/>
          <w:sz w:val="22"/>
        </w:rPr>
        <w:t xml:space="preserve">Tableau 6 </w:t>
      </w:r>
      <w:r>
        <w:rPr>
          <w:noProof/>
        </w:rPr>
        <w:tab/>
      </w:r>
      <w:r>
        <w:rPr>
          <w:b/>
          <w:noProof/>
          <w:sz w:val="22"/>
        </w:rPr>
        <w:t>Agents contractuels 3 bis par GF, genre et DG</w:t>
      </w:r>
    </w:p>
    <w:p w:rsidR="00897D54" w:rsidRDefault="00E84B56">
      <w:pPr>
        <w:pStyle w:val="Text1"/>
        <w:ind w:left="0"/>
        <w:rPr>
          <w:noProof/>
        </w:rPr>
      </w:pPr>
      <w:r>
        <w:rPr>
          <w:noProof/>
        </w:rPr>
        <w:t xml:space="preserve"> </w:t>
      </w:r>
      <w:r>
        <w:rPr>
          <w:noProof/>
          <w:lang w:val="en-GB" w:eastAsia="en-GB" w:bidi="ar-SA"/>
        </w:rPr>
        <w:drawing>
          <wp:inline distT="0" distB="0" distL="0" distR="0">
            <wp:extent cx="6083493" cy="5772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2546" cy="5771252"/>
                    </a:xfrm>
                    <a:prstGeom prst="rect">
                      <a:avLst/>
                    </a:prstGeom>
                    <a:noFill/>
                    <a:ln>
                      <a:noFill/>
                    </a:ln>
                  </pic:spPr>
                </pic:pic>
              </a:graphicData>
            </a:graphic>
          </wp:inline>
        </w:drawing>
      </w:r>
      <w:r>
        <w:rPr>
          <w:noProof/>
        </w:rPr>
        <w:t xml:space="preserve"> </w:t>
      </w:r>
      <w:r>
        <w:rPr>
          <w:noProof/>
        </w:rPr>
        <w:br w:type="page"/>
      </w:r>
    </w:p>
    <w:p w:rsidR="00897D54" w:rsidRDefault="00E84B56">
      <w:pPr>
        <w:pStyle w:val="ManualHeading3"/>
        <w:rPr>
          <w:noProof/>
        </w:rPr>
      </w:pPr>
      <w:bookmarkStart w:id="31" w:name="_Toc411605930"/>
      <w:bookmarkStart w:id="32" w:name="_Toc484003814"/>
      <w:bookmarkStart w:id="33" w:name="_Toc485024053"/>
      <w:bookmarkStart w:id="34" w:name="_Toc306183908"/>
      <w:r>
        <w:rPr>
          <w:noProof/>
        </w:rPr>
        <w:t>5.2.2</w:t>
      </w:r>
      <w:r>
        <w:rPr>
          <w:noProof/>
        </w:rPr>
        <w:tab/>
        <w:t>Agents contractuels</w:t>
      </w:r>
      <w:bookmarkEnd w:id="31"/>
      <w:r>
        <w:rPr>
          <w:noProof/>
        </w:rPr>
        <w:t xml:space="preserve"> 3 ter</w:t>
      </w:r>
      <w:bookmarkEnd w:id="32"/>
      <w:bookmarkEnd w:id="33"/>
    </w:p>
    <w:p w:rsidR="00897D54" w:rsidRDefault="00897D54">
      <w:pPr>
        <w:pStyle w:val="Text1"/>
        <w:ind w:left="0"/>
        <w:rPr>
          <w:noProof/>
        </w:rPr>
      </w:pPr>
    </w:p>
    <w:p w:rsidR="00897D54" w:rsidRDefault="00E84B56">
      <w:pPr>
        <w:pStyle w:val="Text1"/>
        <w:spacing w:after="240"/>
        <w:ind w:left="0"/>
        <w:rPr>
          <w:b/>
          <w:noProof/>
          <w:sz w:val="22"/>
        </w:rPr>
      </w:pPr>
      <w:r>
        <w:rPr>
          <w:b/>
          <w:noProof/>
          <w:sz w:val="22"/>
        </w:rPr>
        <w:t>Tableau 7</w:t>
      </w:r>
      <w:r>
        <w:rPr>
          <w:noProof/>
        </w:rPr>
        <w:tab/>
      </w:r>
      <w:r>
        <w:rPr>
          <w:noProof/>
        </w:rPr>
        <w:tab/>
      </w:r>
      <w:r>
        <w:rPr>
          <w:b/>
          <w:noProof/>
          <w:sz w:val="22"/>
        </w:rPr>
        <w:t>Agents contractuels 3 ter par GF, genre et DG</w:t>
      </w:r>
    </w:p>
    <w:p w:rsidR="00897D54" w:rsidRDefault="00E84B56">
      <w:pPr>
        <w:pStyle w:val="Text1"/>
        <w:ind w:left="0"/>
        <w:rPr>
          <w:noProof/>
        </w:rPr>
      </w:pPr>
      <w:r>
        <w:rPr>
          <w:noProof/>
          <w:lang w:val="en-GB" w:eastAsia="en-GB" w:bidi="ar-SA"/>
        </w:rPr>
        <w:drawing>
          <wp:inline distT="0" distB="0" distL="0" distR="0">
            <wp:extent cx="5973389" cy="532447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5134" cy="5326031"/>
                    </a:xfrm>
                    <a:prstGeom prst="rect">
                      <a:avLst/>
                    </a:prstGeom>
                    <a:noFill/>
                    <a:ln>
                      <a:noFill/>
                    </a:ln>
                  </pic:spPr>
                </pic:pic>
              </a:graphicData>
            </a:graphic>
          </wp:inline>
        </w:drawing>
      </w:r>
      <w:r>
        <w:rPr>
          <w:noProof/>
        </w:rPr>
        <w:br w:type="page"/>
      </w:r>
    </w:p>
    <w:p w:rsidR="00897D54" w:rsidRDefault="00E84B56">
      <w:pPr>
        <w:pStyle w:val="ManualHeading1"/>
        <w:rPr>
          <w:noProof/>
        </w:rPr>
      </w:pPr>
      <w:bookmarkStart w:id="35" w:name="_Toc411605931"/>
      <w:bookmarkStart w:id="36" w:name="_Toc484003815"/>
      <w:bookmarkStart w:id="37" w:name="_Toc485024054"/>
      <w:r>
        <w:rPr>
          <w:noProof/>
        </w:rPr>
        <w:t>6.</w:t>
      </w:r>
      <w:r>
        <w:rPr>
          <w:noProof/>
        </w:rPr>
        <w:tab/>
        <w:t>Répartition des agents contractuels entre les autres institutions et les agences</w:t>
      </w:r>
      <w:bookmarkEnd w:id="35"/>
      <w:bookmarkEnd w:id="36"/>
      <w:bookmarkEnd w:id="37"/>
    </w:p>
    <w:bookmarkEnd w:id="34"/>
    <w:p w:rsidR="00897D54" w:rsidRDefault="00E84B56">
      <w:pPr>
        <w:jc w:val="both"/>
        <w:rPr>
          <w:rFonts w:ascii="Times New Roman" w:hAnsi="Times New Roman" w:cs="Times New Roman"/>
          <w:noProof/>
        </w:rPr>
      </w:pPr>
      <w:r>
        <w:rPr>
          <w:rFonts w:ascii="Times New Roman" w:hAnsi="Times New Roman"/>
          <w:noProof/>
        </w:rPr>
        <w:t xml:space="preserve">Le nombre d’agents contractuels dans les autres institutions et agences a augmenté de 8,9 % en 2015, passant de 4 624 en 2014 à 5 031 en 2015 (après une hausse de 10,6 % en 2014). </w:t>
      </w:r>
    </w:p>
    <w:p w:rsidR="00897D54" w:rsidRDefault="00E84B56">
      <w:pPr>
        <w:ind w:left="1440" w:hanging="1440"/>
        <w:jc w:val="both"/>
        <w:rPr>
          <w:b/>
          <w:noProof/>
        </w:rPr>
      </w:pPr>
      <w:r>
        <w:rPr>
          <w:rFonts w:ascii="Times New Roman" w:hAnsi="Times New Roman"/>
          <w:b/>
          <w:noProof/>
        </w:rPr>
        <w:t>Tableau 8</w:t>
      </w:r>
      <w:r>
        <w:rPr>
          <w:noProof/>
        </w:rPr>
        <w:tab/>
      </w:r>
      <w:r>
        <w:rPr>
          <w:rFonts w:ascii="Times New Roman" w:hAnsi="Times New Roman"/>
          <w:b/>
          <w:noProof/>
        </w:rPr>
        <w:t>Evolution de la répartition des agents contractuels dans les autres institutions et les agences depuis 2010</w:t>
      </w:r>
      <w:r>
        <w:rPr>
          <w:rStyle w:val="FootnoteReference"/>
          <w:b/>
          <w:noProof/>
        </w:rPr>
        <w:footnoteReference w:id="9"/>
      </w:r>
    </w:p>
    <w:tbl>
      <w:tblPr>
        <w:tblW w:w="17910" w:type="dxa"/>
        <w:tblInd w:w="108" w:type="dxa"/>
        <w:tblLook w:val="04A0" w:firstRow="1" w:lastRow="0" w:firstColumn="1" w:lastColumn="0" w:noHBand="0" w:noVBand="1"/>
      </w:tblPr>
      <w:tblGrid>
        <w:gridCol w:w="9126"/>
        <w:gridCol w:w="976"/>
        <w:gridCol w:w="976"/>
        <w:gridCol w:w="976"/>
        <w:gridCol w:w="976"/>
        <w:gridCol w:w="976"/>
        <w:gridCol w:w="976"/>
        <w:gridCol w:w="976"/>
        <w:gridCol w:w="976"/>
        <w:gridCol w:w="976"/>
      </w:tblGrid>
      <w:tr w:rsidR="00897D54">
        <w:trPr>
          <w:trHeight w:val="300"/>
        </w:trPr>
        <w:tc>
          <w:tcPr>
            <w:tcW w:w="9126" w:type="dxa"/>
            <w:tcBorders>
              <w:top w:val="nil"/>
              <w:left w:val="nil"/>
              <w:bottom w:val="nil"/>
              <w:right w:val="nil"/>
            </w:tcBorders>
            <w:shd w:val="clear" w:color="auto" w:fill="auto"/>
            <w:noWrap/>
            <w:vAlign w:val="bottom"/>
            <w:hideMark/>
          </w:tcPr>
          <w:p w:rsidR="00897D54" w:rsidRDefault="00E84B56">
            <w:pPr>
              <w:jc w:val="center"/>
              <w:rPr>
                <w:noProof/>
              </w:rPr>
            </w:pPr>
            <w:r>
              <w:rPr>
                <w:noProof/>
                <w:lang w:val="en-GB" w:eastAsia="en-GB" w:bidi="ar-SA"/>
              </w:rPr>
              <w:drawing>
                <wp:inline distT="0" distB="0" distL="0" distR="0">
                  <wp:extent cx="5645785" cy="37109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45785" cy="3710940"/>
                          </a:xfrm>
                          <a:prstGeom prst="rect">
                            <a:avLst/>
                          </a:prstGeom>
                          <a:noFill/>
                          <a:ln>
                            <a:noFill/>
                          </a:ln>
                        </pic:spPr>
                      </pic:pic>
                    </a:graphicData>
                  </a:graphic>
                </wp:inline>
              </w:drawing>
            </w:r>
          </w:p>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c>
          <w:tcPr>
            <w:tcW w:w="976" w:type="dxa"/>
            <w:tcBorders>
              <w:top w:val="nil"/>
              <w:left w:val="nil"/>
              <w:bottom w:val="nil"/>
              <w:right w:val="nil"/>
            </w:tcBorders>
            <w:shd w:val="clear" w:color="auto" w:fill="auto"/>
            <w:noWrap/>
            <w:vAlign w:val="bottom"/>
            <w:hideMark/>
          </w:tcPr>
          <w:p w:rsidR="00897D54" w:rsidRDefault="00897D54">
            <w:pPr>
              <w:spacing w:after="0" w:line="240" w:lineRule="auto"/>
              <w:rPr>
                <w:rFonts w:ascii="Calibri" w:eastAsia="Times New Roman" w:hAnsi="Calibri" w:cs="Times New Roman"/>
                <w:noProof/>
                <w:color w:val="000000"/>
              </w:rPr>
            </w:pPr>
          </w:p>
        </w:tc>
      </w:tr>
    </w:tbl>
    <w:p w:rsidR="00897D54" w:rsidRDefault="00897D54">
      <w:pPr>
        <w:spacing w:after="0" w:line="240" w:lineRule="auto"/>
        <w:rPr>
          <w:rFonts w:ascii="Calibri" w:eastAsia="Times New Roman" w:hAnsi="Calibri" w:cs="Times New Roman"/>
          <w:i/>
          <w:noProof/>
          <w:color w:val="000000"/>
        </w:rPr>
      </w:pPr>
      <w:bookmarkStart w:id="38" w:name="_Toc411605932"/>
    </w:p>
    <w:p w:rsidR="00897D54" w:rsidRDefault="00E84B56">
      <w:pPr>
        <w:rPr>
          <w:rFonts w:ascii="Times New Roman" w:eastAsia="Times New Roman" w:hAnsi="Times New Roman" w:cs="Times New Roman"/>
          <w:noProof/>
          <w:sz w:val="24"/>
          <w:szCs w:val="24"/>
        </w:rPr>
      </w:pPr>
      <w:r>
        <w:rPr>
          <w:noProof/>
        </w:rPr>
        <w:br w:type="page"/>
      </w:r>
    </w:p>
    <w:p w:rsidR="00897D54" w:rsidRDefault="00897D54">
      <w:pPr>
        <w:pStyle w:val="ManualHeading2"/>
        <w:rPr>
          <w:noProof/>
        </w:rPr>
      </w:pPr>
    </w:p>
    <w:p w:rsidR="00897D54" w:rsidRDefault="00E84B56">
      <w:pPr>
        <w:pStyle w:val="ManualHeading2"/>
        <w:rPr>
          <w:noProof/>
        </w:rPr>
      </w:pPr>
      <w:bookmarkStart w:id="39" w:name="_Toc484003816"/>
      <w:bookmarkStart w:id="40" w:name="_Toc485024055"/>
      <w:r>
        <w:rPr>
          <w:noProof/>
        </w:rPr>
        <w:t>6.1.</w:t>
      </w:r>
      <w:r>
        <w:rPr>
          <w:noProof/>
        </w:rPr>
        <w:tab/>
        <w:t>Répartition des agents contractuels dans les autres institutions</w:t>
      </w:r>
      <w:r>
        <w:rPr>
          <w:rStyle w:val="FootnoteReference"/>
          <w:noProof/>
        </w:rPr>
        <w:footnoteReference w:id="10"/>
      </w:r>
      <w:bookmarkEnd w:id="38"/>
      <w:bookmarkEnd w:id="39"/>
      <w:bookmarkEnd w:id="40"/>
    </w:p>
    <w:p w:rsidR="00897D54" w:rsidRDefault="00E84B56">
      <w:pPr>
        <w:jc w:val="both"/>
        <w:rPr>
          <w:rFonts w:ascii="Times New Roman" w:hAnsi="Times New Roman"/>
          <w:noProof/>
        </w:rPr>
      </w:pPr>
      <w:r>
        <w:rPr>
          <w:rFonts w:ascii="Times New Roman" w:hAnsi="Times New Roman"/>
          <w:noProof/>
        </w:rPr>
        <w:t xml:space="preserve">Le nombre d'AC dans les autres institutions est resté stable par rapport à 2014. </w:t>
      </w:r>
    </w:p>
    <w:p w:rsidR="00897D54" w:rsidRDefault="00E84B56">
      <w:pPr>
        <w:pStyle w:val="NormalCentered"/>
        <w:jc w:val="left"/>
        <w:rPr>
          <w:b/>
          <w:noProof/>
          <w:sz w:val="22"/>
        </w:rPr>
      </w:pPr>
      <w:r>
        <w:rPr>
          <w:b/>
          <w:noProof/>
          <w:sz w:val="22"/>
        </w:rPr>
        <w:t xml:space="preserve">Tableau 9 </w:t>
      </w:r>
      <w:r>
        <w:rPr>
          <w:noProof/>
        </w:rPr>
        <w:tab/>
      </w:r>
      <w:r>
        <w:rPr>
          <w:b/>
          <w:noProof/>
          <w:sz w:val="22"/>
        </w:rPr>
        <w:t>Répartition des agents contractuels dans les autres institutions en 2015</w:t>
      </w:r>
    </w:p>
    <w:p w:rsidR="00897D54" w:rsidRDefault="00897D54">
      <w:pPr>
        <w:jc w:val="both"/>
        <w:rPr>
          <w:rFonts w:ascii="Times New Roman" w:hAnsi="Times New Roman" w:cs="Times New Roman"/>
          <w:b/>
          <w:noProof/>
        </w:rPr>
      </w:pPr>
    </w:p>
    <w:p w:rsidR="00897D54" w:rsidRDefault="00E84B56">
      <w:pPr>
        <w:spacing w:after="0" w:line="240" w:lineRule="auto"/>
        <w:jc w:val="center"/>
        <w:rPr>
          <w:noProof/>
          <w:sz w:val="20"/>
          <w:szCs w:val="20"/>
        </w:rPr>
      </w:pPr>
      <w:r>
        <w:rPr>
          <w:noProof/>
          <w:lang w:val="en-GB" w:eastAsia="en-GB" w:bidi="ar-SA"/>
        </w:rPr>
        <w:drawing>
          <wp:inline distT="0" distB="0" distL="0" distR="0">
            <wp:extent cx="5930220" cy="3902149"/>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28685" cy="3901139"/>
                    </a:xfrm>
                    <a:prstGeom prst="rect">
                      <a:avLst/>
                    </a:prstGeom>
                    <a:noFill/>
                    <a:ln>
                      <a:noFill/>
                    </a:ln>
                  </pic:spPr>
                </pic:pic>
              </a:graphicData>
            </a:graphic>
          </wp:inline>
        </w:drawing>
      </w:r>
    </w:p>
    <w:p w:rsidR="00897D54" w:rsidRDefault="00897D54">
      <w:pPr>
        <w:spacing w:after="0" w:line="240" w:lineRule="auto"/>
        <w:jc w:val="center"/>
        <w:rPr>
          <w:noProof/>
          <w:sz w:val="20"/>
          <w:szCs w:val="20"/>
        </w:rPr>
      </w:pPr>
    </w:p>
    <w:p w:rsidR="00897D54" w:rsidRDefault="00E84B56">
      <w:pPr>
        <w:pStyle w:val="ManualHeading3"/>
        <w:spacing w:after="0"/>
        <w:jc w:val="center"/>
        <w:rPr>
          <w:noProof/>
        </w:rPr>
        <w:sectPr w:rsidR="00897D54">
          <w:headerReference w:type="even" r:id="rId36"/>
          <w:headerReference w:type="default" r:id="rId37"/>
          <w:footerReference w:type="even" r:id="rId38"/>
          <w:footerReference w:type="default" r:id="rId39"/>
          <w:headerReference w:type="first" r:id="rId40"/>
          <w:footerReference w:type="first" r:id="rId41"/>
          <w:pgSz w:w="11907" w:h="16839"/>
          <w:pgMar w:top="851" w:right="1417" w:bottom="851" w:left="1417" w:header="709" w:footer="709" w:gutter="0"/>
          <w:cols w:space="708"/>
          <w:docGrid w:linePitch="360"/>
        </w:sectPr>
      </w:pPr>
      <w:bookmarkStart w:id="41" w:name="_Toc411605933"/>
      <w:bookmarkStart w:id="42" w:name="_Toc484003817"/>
      <w:bookmarkStart w:id="43" w:name="_Toc485024056"/>
      <w:r>
        <w:rPr>
          <w:noProof/>
        </w:rPr>
        <w:t>6.1.1</w:t>
      </w:r>
      <w:r>
        <w:rPr>
          <w:noProof/>
        </w:rPr>
        <w:tab/>
        <w:t>Répartition par genre et par groupe de fonctions dans les autres institutions</w:t>
      </w:r>
      <w:bookmarkEnd w:id="41"/>
      <w:r>
        <w:rPr>
          <w:rStyle w:val="FootnoteReference"/>
          <w:noProof/>
        </w:rPr>
        <w:footnoteReference w:id="11"/>
      </w:r>
      <w:bookmarkEnd w:id="42"/>
      <w:bookmarkEnd w:id="43"/>
    </w:p>
    <w:p w:rsidR="00897D54" w:rsidRDefault="00897D54">
      <w:pPr>
        <w:spacing w:after="0"/>
        <w:rPr>
          <w:rFonts w:ascii="Times New Roman" w:hAnsi="Times New Roman"/>
          <w:b/>
          <w:noProof/>
        </w:rPr>
      </w:pPr>
    </w:p>
    <w:p w:rsidR="00897D54" w:rsidRDefault="00E84B56">
      <w:pPr>
        <w:spacing w:after="0"/>
        <w:rPr>
          <w:rFonts w:ascii="Times New Roman" w:hAnsi="Times New Roman" w:cs="Times New Roman"/>
          <w:b/>
          <w:noProof/>
        </w:rPr>
      </w:pPr>
      <w:r>
        <w:rPr>
          <w:rFonts w:ascii="Times New Roman" w:hAnsi="Times New Roman"/>
          <w:b/>
          <w:noProof/>
        </w:rPr>
        <w:t>Tableau 10</w:t>
      </w:r>
    </w:p>
    <w:p w:rsidR="00897D54" w:rsidRDefault="00E84B56">
      <w:pPr>
        <w:rPr>
          <w:noProof/>
        </w:rPr>
      </w:pPr>
      <w:bookmarkStart w:id="44" w:name="_Toc411605934"/>
      <w:r>
        <w:rPr>
          <w:noProof/>
          <w:lang w:val="en-GB" w:eastAsia="en-GB" w:bidi="ar-SA"/>
        </w:rPr>
        <w:drawing>
          <wp:inline distT="0" distB="0" distL="0" distR="0">
            <wp:extent cx="9072880" cy="1774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72880" cy="1774809"/>
                    </a:xfrm>
                    <a:prstGeom prst="rect">
                      <a:avLst/>
                    </a:prstGeom>
                    <a:noFill/>
                    <a:ln>
                      <a:noFill/>
                    </a:ln>
                  </pic:spPr>
                </pic:pic>
              </a:graphicData>
            </a:graphic>
          </wp:inline>
        </w:drawing>
      </w:r>
    </w:p>
    <w:p w:rsidR="00897D54" w:rsidRDefault="00897D54">
      <w:pPr>
        <w:pStyle w:val="ManualHeading3"/>
        <w:ind w:left="0" w:firstLine="0"/>
        <w:rPr>
          <w:noProof/>
        </w:rPr>
      </w:pPr>
    </w:p>
    <w:p w:rsidR="00897D54" w:rsidRDefault="00E84B56">
      <w:pPr>
        <w:pStyle w:val="ManualHeading3"/>
        <w:ind w:left="0" w:firstLine="0"/>
        <w:rPr>
          <w:noProof/>
        </w:rPr>
      </w:pPr>
      <w:bookmarkStart w:id="45" w:name="_Toc484003818"/>
      <w:bookmarkStart w:id="46" w:name="_Toc485024057"/>
      <w:r>
        <w:rPr>
          <w:noProof/>
        </w:rPr>
        <w:t>6.1.2</w:t>
      </w:r>
      <w:r>
        <w:rPr>
          <w:noProof/>
        </w:rPr>
        <w:tab/>
        <w:t>Répartition par nationalité dans les autres institutions</w:t>
      </w:r>
      <w:bookmarkEnd w:id="44"/>
      <w:r>
        <w:rPr>
          <w:rStyle w:val="FootnoteReference"/>
          <w:noProof/>
        </w:rPr>
        <w:footnoteReference w:id="12"/>
      </w:r>
      <w:bookmarkEnd w:id="45"/>
      <w:bookmarkEnd w:id="46"/>
    </w:p>
    <w:p w:rsidR="00897D54" w:rsidRDefault="00897D54">
      <w:pPr>
        <w:spacing w:after="0"/>
        <w:rPr>
          <w:rFonts w:ascii="Times New Roman" w:hAnsi="Times New Roman"/>
          <w:b/>
          <w:noProof/>
        </w:rPr>
      </w:pPr>
    </w:p>
    <w:p w:rsidR="00897D54" w:rsidRDefault="00E84B56">
      <w:pPr>
        <w:spacing w:after="0"/>
        <w:rPr>
          <w:rFonts w:ascii="Times New Roman" w:hAnsi="Times New Roman" w:cs="Times New Roman"/>
          <w:b/>
          <w:noProof/>
        </w:rPr>
      </w:pPr>
      <w:r>
        <w:rPr>
          <w:rFonts w:ascii="Times New Roman" w:hAnsi="Times New Roman"/>
          <w:b/>
          <w:noProof/>
        </w:rPr>
        <w:t>Tableau 11</w:t>
      </w:r>
    </w:p>
    <w:p w:rsidR="00897D54" w:rsidRDefault="00897D54">
      <w:pPr>
        <w:spacing w:after="0"/>
        <w:ind w:left="-142"/>
        <w:rPr>
          <w:b/>
          <w:noProof/>
        </w:rPr>
      </w:pPr>
    </w:p>
    <w:p w:rsidR="00897D54" w:rsidRDefault="00E84B56">
      <w:pPr>
        <w:spacing w:after="0"/>
        <w:ind w:left="-142"/>
        <w:rPr>
          <w:b/>
          <w:noProof/>
        </w:rPr>
        <w:sectPr w:rsidR="00897D54">
          <w:headerReference w:type="even" r:id="rId43"/>
          <w:headerReference w:type="default" r:id="rId44"/>
          <w:footerReference w:type="even" r:id="rId45"/>
          <w:footerReference w:type="default" r:id="rId46"/>
          <w:headerReference w:type="first" r:id="rId47"/>
          <w:footerReference w:type="first" r:id="rId48"/>
          <w:pgSz w:w="16839" w:h="11907" w:orient="landscape"/>
          <w:pgMar w:top="-709" w:right="1417" w:bottom="284" w:left="1134" w:header="709" w:footer="367" w:gutter="0"/>
          <w:cols w:space="708"/>
          <w:docGrid w:linePitch="360"/>
        </w:sectPr>
      </w:pPr>
      <w:r>
        <w:rPr>
          <w:noProof/>
          <w:lang w:val="en-GB" w:eastAsia="en-GB" w:bidi="ar-SA"/>
        </w:rPr>
        <w:drawing>
          <wp:inline distT="0" distB="0" distL="0" distR="0">
            <wp:extent cx="9069572" cy="177563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072880" cy="1776285"/>
                    </a:xfrm>
                    <a:prstGeom prst="rect">
                      <a:avLst/>
                    </a:prstGeom>
                    <a:noFill/>
                    <a:ln>
                      <a:noFill/>
                    </a:ln>
                  </pic:spPr>
                </pic:pic>
              </a:graphicData>
            </a:graphic>
          </wp:inline>
        </w:drawing>
      </w:r>
    </w:p>
    <w:p w:rsidR="00897D54" w:rsidRDefault="00E84B56">
      <w:pPr>
        <w:pStyle w:val="ManualHeading2"/>
        <w:rPr>
          <w:noProof/>
        </w:rPr>
      </w:pPr>
      <w:bookmarkStart w:id="47" w:name="_Toc409453693"/>
      <w:bookmarkStart w:id="48" w:name="_Toc409453777"/>
      <w:bookmarkStart w:id="49" w:name="_Toc411605935"/>
      <w:bookmarkStart w:id="50" w:name="_Toc484003819"/>
      <w:bookmarkStart w:id="51" w:name="_Toc485024058"/>
      <w:bookmarkEnd w:id="47"/>
      <w:bookmarkEnd w:id="48"/>
      <w:r>
        <w:rPr>
          <w:noProof/>
        </w:rPr>
        <w:t>6.2.</w:t>
      </w:r>
      <w:r>
        <w:rPr>
          <w:noProof/>
        </w:rPr>
        <w:tab/>
        <w:t>Répartition des agents contractuels dans les agences</w:t>
      </w:r>
      <w:bookmarkEnd w:id="49"/>
      <w:bookmarkEnd w:id="50"/>
      <w:bookmarkEnd w:id="51"/>
    </w:p>
    <w:p w:rsidR="00897D54" w:rsidRDefault="00E84B56">
      <w:pPr>
        <w:jc w:val="both"/>
        <w:rPr>
          <w:rFonts w:ascii="Times New Roman" w:hAnsi="Times New Roman"/>
          <w:noProof/>
        </w:rPr>
      </w:pPr>
      <w:r>
        <w:rPr>
          <w:rFonts w:ascii="Times New Roman" w:hAnsi="Times New Roman"/>
          <w:noProof/>
        </w:rPr>
        <w:t xml:space="preserve">Le nombre d'AC dans les agences est en progression constante et régulière. Les chiffres se présentent comme suit: </w:t>
      </w:r>
    </w:p>
    <w:p w:rsidR="00897D54" w:rsidRDefault="00E84B56">
      <w:pPr>
        <w:jc w:val="both"/>
        <w:rPr>
          <w:rFonts w:ascii="Times New Roman" w:hAnsi="Times New Roman"/>
          <w:noProof/>
        </w:rPr>
      </w:pPr>
      <w:r>
        <w:rPr>
          <w:rFonts w:ascii="Times New Roman" w:hAnsi="Times New Roman"/>
          <w:noProof/>
        </w:rPr>
        <w:t xml:space="preserve"> </w:t>
      </w:r>
      <w:r>
        <w:rPr>
          <w:noProof/>
          <w:lang w:val="en-GB" w:eastAsia="en-GB" w:bidi="ar-SA"/>
        </w:rPr>
        <w:drawing>
          <wp:inline distT="0" distB="0" distL="0" distR="0">
            <wp:extent cx="4274185" cy="3937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4185" cy="393700"/>
                    </a:xfrm>
                    <a:prstGeom prst="rect">
                      <a:avLst/>
                    </a:prstGeom>
                    <a:noFill/>
                    <a:ln>
                      <a:noFill/>
                    </a:ln>
                  </pic:spPr>
                </pic:pic>
              </a:graphicData>
            </a:graphic>
          </wp:inline>
        </w:drawing>
      </w:r>
    </w:p>
    <w:p w:rsidR="00897D54" w:rsidRDefault="00E84B56">
      <w:pPr>
        <w:jc w:val="both"/>
        <w:rPr>
          <w:rFonts w:ascii="Times New Roman" w:hAnsi="Times New Roman"/>
          <w:noProof/>
        </w:rPr>
      </w:pPr>
      <w:r>
        <w:rPr>
          <w:rFonts w:ascii="Times New Roman" w:hAnsi="Times New Roman"/>
          <w:noProof/>
        </w:rPr>
        <w:t xml:space="preserve">En ce qui concerne les agences décentralisées et les entreprises communes, une forte augmentation du nombre d’agents contractuels a été constatée en 2015 par rapport à 2014 (14 %). Cette tendance fait suite aux décisions de l’autorité budgétaire d’affecter des ressources supplémentaires (et de financer ainsi une hausse des effectifs), en particulier aux agences et aux entreprises communes qui ont récemment été créées ou auxquelles des tâches supplémentaires ont été confiées ces derniers temps. </w:t>
      </w:r>
    </w:p>
    <w:p w:rsidR="00897D54" w:rsidRDefault="00E84B56">
      <w:pPr>
        <w:jc w:val="both"/>
        <w:rPr>
          <w:rFonts w:ascii="Times New Roman" w:hAnsi="Times New Roman"/>
          <w:noProof/>
        </w:rPr>
      </w:pPr>
      <w:r>
        <w:rPr>
          <w:rFonts w:ascii="Times New Roman" w:hAnsi="Times New Roman"/>
          <w:noProof/>
        </w:rPr>
        <w:t xml:space="preserve">En ce qui concerne les agences exécutives, cette augmentation est principalement due à l’engagement d’agents contractuels pour accomplir de nouvelles tâches découlant de l’extension de leur mandat, qui couvre désormais la gestion de la nouvelle génération de programmes de dépenses relevant du cadre financier pluriannuel 2014-2020. Cela a été rendu possible, entre autres, par le lancement, en 2015, d’une procédure de sélection spéciale pour les agents contractuels GFIII et IV, qui a pris en considération les besoins spécifiques des agences exécutives (profils finances et gestion de projets). En 2015, la Commission a en outre délégué les tâches d’exécution à ces agences afin de renforcer l’efficacité de la gestion des programmes. Les effectifs des agences sont conformes au «paquet délégation» de la Commission approuvé pour la période 2014-2020. </w:t>
      </w:r>
    </w:p>
    <w:p w:rsidR="00897D54" w:rsidRDefault="00E84B56">
      <w:pPr>
        <w:pStyle w:val="NormalCentered"/>
        <w:jc w:val="left"/>
        <w:rPr>
          <w:b/>
          <w:noProof/>
          <w:sz w:val="22"/>
          <w:szCs w:val="22"/>
        </w:rPr>
      </w:pPr>
      <w:r>
        <w:rPr>
          <w:b/>
          <w:noProof/>
          <w:sz w:val="22"/>
        </w:rPr>
        <w:t xml:space="preserve">Tableau 12 </w:t>
      </w:r>
      <w:r>
        <w:rPr>
          <w:noProof/>
        </w:rPr>
        <w:tab/>
      </w:r>
      <w:r>
        <w:rPr>
          <w:b/>
          <w:noProof/>
          <w:sz w:val="22"/>
        </w:rPr>
        <w:t>Répartition des agents contractuels par catégorie d’agences en 2015</w:t>
      </w:r>
      <w:r>
        <w:rPr>
          <w:rStyle w:val="FootnoteReference"/>
          <w:b/>
          <w:noProof/>
          <w:sz w:val="22"/>
        </w:rPr>
        <w:footnoteReference w:id="13"/>
      </w:r>
    </w:p>
    <w:p w:rsidR="00897D54" w:rsidRDefault="00897D54">
      <w:pPr>
        <w:pStyle w:val="NormalCentered"/>
        <w:jc w:val="left"/>
        <w:rPr>
          <w:b/>
          <w:noProof/>
          <w:sz w:val="22"/>
        </w:rPr>
      </w:pPr>
    </w:p>
    <w:p w:rsidR="00897D54" w:rsidRDefault="00E84B56">
      <w:pPr>
        <w:pStyle w:val="NormalCentered"/>
        <w:rPr>
          <w:b/>
          <w:noProof/>
        </w:rPr>
      </w:pPr>
      <w:r>
        <w:rPr>
          <w:noProof/>
          <w:lang w:val="en-GB" w:eastAsia="en-GB" w:bidi="ar-SA"/>
        </w:rPr>
        <w:drawing>
          <wp:inline distT="0" distB="0" distL="0" distR="0">
            <wp:extent cx="5760085" cy="301698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60085" cy="3016986"/>
                    </a:xfrm>
                    <a:prstGeom prst="rect">
                      <a:avLst/>
                    </a:prstGeom>
                    <a:noFill/>
                    <a:ln>
                      <a:noFill/>
                    </a:ln>
                  </pic:spPr>
                </pic:pic>
              </a:graphicData>
            </a:graphic>
          </wp:inline>
        </w:drawing>
      </w:r>
    </w:p>
    <w:p w:rsidR="00897D54" w:rsidRDefault="00897D54">
      <w:pPr>
        <w:pStyle w:val="NormalCentered"/>
        <w:rPr>
          <w:b/>
          <w:noProof/>
        </w:rPr>
      </w:pPr>
    </w:p>
    <w:p w:rsidR="00897D54" w:rsidRDefault="00E84B56">
      <w:pPr>
        <w:jc w:val="both"/>
        <w:rPr>
          <w:rFonts w:ascii="Times New Roman" w:hAnsi="Times New Roman" w:cs="Times New Roman"/>
          <w:noProof/>
        </w:rPr>
      </w:pPr>
      <w:r>
        <w:rPr>
          <w:rFonts w:ascii="Times New Roman" w:hAnsi="Times New Roman"/>
          <w:noProof/>
        </w:rPr>
        <w:t>En 2015, 52 % des AC étaient employés par les agences exécutives et 41 % par les agences décentralisées. Le reste (7%) était employé par les entreprises communes et l'Institut européen d'innovation et de technologie.</w:t>
      </w:r>
    </w:p>
    <w:p w:rsidR="00897D54" w:rsidRDefault="00E84B56">
      <w:pPr>
        <w:jc w:val="both"/>
        <w:rPr>
          <w:rFonts w:ascii="Times New Roman" w:hAnsi="Times New Roman" w:cs="Times New Roman"/>
          <w:noProof/>
        </w:rPr>
      </w:pPr>
      <w:r>
        <w:rPr>
          <w:rFonts w:ascii="Times New Roman" w:hAnsi="Times New Roman"/>
          <w:noProof/>
        </w:rPr>
        <w:t xml:space="preserve">L'augmentation du nombre d'agents contractuels entre 2010 et 2015 reflète l'accroissement du nombre d'agences et, en particulier pour les agences exécutives, du nombre de tâches qui leur sont assignées. </w:t>
      </w:r>
    </w:p>
    <w:p w:rsidR="00897D54" w:rsidRDefault="00E84B56">
      <w:pPr>
        <w:pStyle w:val="ManualHeading3"/>
        <w:ind w:left="0" w:firstLine="0"/>
        <w:rPr>
          <w:noProof/>
        </w:rPr>
      </w:pPr>
      <w:r>
        <w:rPr>
          <w:noProof/>
        </w:rPr>
        <w:br w:type="page"/>
      </w:r>
      <w:bookmarkStart w:id="52" w:name="_Toc411605936"/>
      <w:bookmarkStart w:id="53" w:name="_Toc484003820"/>
      <w:bookmarkStart w:id="54" w:name="_Toc485024059"/>
      <w:r>
        <w:rPr>
          <w:noProof/>
        </w:rPr>
        <w:t>6.2.1</w:t>
      </w:r>
      <w:r>
        <w:rPr>
          <w:noProof/>
        </w:rPr>
        <w:tab/>
        <w:t>Répartition par genre et par groupe de fonctions dans les agences</w:t>
      </w:r>
      <w:bookmarkEnd w:id="52"/>
      <w:bookmarkEnd w:id="53"/>
      <w:bookmarkEnd w:id="54"/>
    </w:p>
    <w:p w:rsidR="00897D54" w:rsidRDefault="00E84B56">
      <w:pPr>
        <w:jc w:val="both"/>
        <w:rPr>
          <w:rFonts w:ascii="Times New Roman" w:hAnsi="Times New Roman" w:cs="Times New Roman"/>
          <w:noProof/>
        </w:rPr>
      </w:pPr>
      <w:r>
        <w:rPr>
          <w:rFonts w:ascii="Times New Roman" w:hAnsi="Times New Roman"/>
          <w:noProof/>
        </w:rPr>
        <w:t>La répartition par GF est relativement homogène entre les agences décentralisées et les agences exécutives et est restée stable depuis 2012. Les entreprises communes ont légèrement augmenté le nombre d’agents contractuels dans le GFIV afin de gérer un nombre de tâches croissant confiées au titre d’Horizon 2020.</w:t>
      </w:r>
    </w:p>
    <w:p w:rsidR="00897D54" w:rsidRDefault="00E84B56">
      <w:pPr>
        <w:pStyle w:val="NormalCentered"/>
        <w:ind w:left="2160" w:hanging="2160"/>
        <w:jc w:val="left"/>
        <w:rPr>
          <w:b/>
          <w:bCs/>
          <w:noProof/>
          <w:sz w:val="22"/>
          <w:szCs w:val="22"/>
        </w:rPr>
      </w:pPr>
      <w:r>
        <w:rPr>
          <w:b/>
          <w:noProof/>
          <w:sz w:val="22"/>
        </w:rPr>
        <w:t xml:space="preserve">Tableau 13 </w:t>
      </w:r>
      <w:r>
        <w:rPr>
          <w:noProof/>
        </w:rPr>
        <w:tab/>
      </w:r>
      <w:r>
        <w:rPr>
          <w:b/>
          <w:noProof/>
          <w:sz w:val="22"/>
        </w:rPr>
        <w:t>Répartition par groupe de fonctions dans les agences et les entreprises communes en 2015</w:t>
      </w:r>
      <w:r>
        <w:rPr>
          <w:rStyle w:val="FootnoteReference"/>
          <w:b/>
          <w:noProof/>
          <w:sz w:val="22"/>
        </w:rPr>
        <w:footnoteReference w:id="14"/>
      </w:r>
    </w:p>
    <w:p w:rsidR="00897D54" w:rsidRDefault="00897D54">
      <w:pPr>
        <w:pStyle w:val="NormalCentered"/>
        <w:jc w:val="left"/>
        <w:rPr>
          <w:b/>
          <w:bCs/>
          <w:noProof/>
          <w:sz w:val="22"/>
        </w:rPr>
      </w:pPr>
    </w:p>
    <w:p w:rsidR="00897D54" w:rsidRDefault="00E84B56">
      <w:pPr>
        <w:pStyle w:val="NormalCentered"/>
        <w:rPr>
          <w:b/>
          <w:bCs/>
          <w:noProof/>
        </w:rPr>
      </w:pPr>
      <w:r>
        <w:rPr>
          <w:noProof/>
          <w:lang w:val="en-GB" w:eastAsia="en-GB" w:bidi="ar-SA"/>
        </w:rPr>
        <w:drawing>
          <wp:inline distT="0" distB="0" distL="0" distR="0">
            <wp:extent cx="5760085" cy="384383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60085" cy="3843830"/>
                    </a:xfrm>
                    <a:prstGeom prst="rect">
                      <a:avLst/>
                    </a:prstGeom>
                    <a:noFill/>
                    <a:ln>
                      <a:noFill/>
                    </a:ln>
                  </pic:spPr>
                </pic:pic>
              </a:graphicData>
            </a:graphic>
          </wp:inline>
        </w:drawing>
      </w:r>
    </w:p>
    <w:p w:rsidR="00897D54" w:rsidRDefault="00897D54">
      <w:pPr>
        <w:pStyle w:val="NormalCentered"/>
        <w:rPr>
          <w:b/>
          <w:bCs/>
          <w:noProof/>
        </w:rPr>
      </w:pPr>
    </w:p>
    <w:p w:rsidR="00897D54" w:rsidRDefault="00897D54">
      <w:pPr>
        <w:pStyle w:val="NormalCentered"/>
        <w:rPr>
          <w:b/>
          <w:bCs/>
          <w:noProof/>
        </w:rPr>
      </w:pPr>
    </w:p>
    <w:p w:rsidR="00897D54" w:rsidRDefault="00897D54">
      <w:pPr>
        <w:jc w:val="center"/>
        <w:rPr>
          <w:noProof/>
        </w:rPr>
      </w:pPr>
    </w:p>
    <w:p w:rsidR="00897D54" w:rsidRDefault="00897D54">
      <w:pPr>
        <w:spacing w:after="0"/>
        <w:rPr>
          <w:b/>
          <w:noProof/>
        </w:rPr>
      </w:pPr>
    </w:p>
    <w:p w:rsidR="00897D54" w:rsidRDefault="00897D54">
      <w:pPr>
        <w:spacing w:after="0"/>
        <w:rPr>
          <w:b/>
          <w:noProof/>
        </w:rPr>
        <w:sectPr w:rsidR="00897D54">
          <w:headerReference w:type="even" r:id="rId53"/>
          <w:headerReference w:type="default" r:id="rId54"/>
          <w:footerReference w:type="even" r:id="rId55"/>
          <w:footerReference w:type="default" r:id="rId56"/>
          <w:headerReference w:type="first" r:id="rId57"/>
          <w:footerReference w:type="first" r:id="rId58"/>
          <w:pgSz w:w="11907" w:h="16839"/>
          <w:pgMar w:top="851" w:right="1418" w:bottom="851" w:left="1418" w:header="709" w:footer="369" w:gutter="0"/>
          <w:cols w:space="708"/>
          <w:docGrid w:linePitch="360"/>
        </w:sectPr>
      </w:pPr>
    </w:p>
    <w:p w:rsidR="00897D54" w:rsidRDefault="00E84B56">
      <w:pPr>
        <w:spacing w:after="0"/>
        <w:rPr>
          <w:rFonts w:ascii="Times New Roman" w:hAnsi="Times New Roman"/>
          <w:b/>
          <w:noProof/>
        </w:rPr>
      </w:pPr>
      <w:bookmarkStart w:id="55" w:name="_Toc409453524"/>
      <w:bookmarkStart w:id="56" w:name="_Toc409453695"/>
      <w:bookmarkStart w:id="57" w:name="_Toc409453779"/>
      <w:bookmarkEnd w:id="55"/>
      <w:bookmarkEnd w:id="56"/>
      <w:bookmarkEnd w:id="57"/>
      <w:r>
        <w:rPr>
          <w:noProof/>
        </w:rPr>
        <w:t xml:space="preserve"> </w:t>
      </w:r>
      <w:r>
        <w:rPr>
          <w:rFonts w:ascii="Times New Roman" w:hAnsi="Times New Roman"/>
          <w:b/>
          <w:noProof/>
        </w:rPr>
        <w:t>Tableau 14</w:t>
      </w:r>
      <w:r>
        <w:rPr>
          <w:noProof/>
        </w:rPr>
        <w:tab/>
      </w:r>
      <w:r>
        <w:rPr>
          <w:b/>
          <w:noProof/>
        </w:rPr>
        <w:t xml:space="preserve"> Répartition par groupe de fonctions pour chaque agence ou entreprise commune en 2015</w:t>
      </w:r>
    </w:p>
    <w:p w:rsidR="00897D54" w:rsidRDefault="00897D54">
      <w:pPr>
        <w:spacing w:after="0"/>
        <w:rPr>
          <w:rFonts w:ascii="Times New Roman" w:hAnsi="Times New Roman"/>
          <w:b/>
          <w:noProof/>
        </w:rPr>
      </w:pPr>
    </w:p>
    <w:p w:rsidR="00897D54" w:rsidRDefault="00E84B56">
      <w:pPr>
        <w:rPr>
          <w:noProof/>
        </w:rPr>
      </w:pPr>
      <w:r>
        <w:rPr>
          <w:noProof/>
          <w:lang w:val="en-GB" w:eastAsia="en-GB" w:bidi="ar-SA"/>
        </w:rPr>
        <w:drawing>
          <wp:inline distT="0" distB="0" distL="0" distR="0">
            <wp:extent cx="9072880" cy="501505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72880" cy="5015053"/>
                    </a:xfrm>
                    <a:prstGeom prst="rect">
                      <a:avLst/>
                    </a:prstGeom>
                    <a:noFill/>
                    <a:ln>
                      <a:noFill/>
                    </a:ln>
                  </pic:spPr>
                </pic:pic>
              </a:graphicData>
            </a:graphic>
          </wp:inline>
        </w:drawing>
      </w:r>
    </w:p>
    <w:p w:rsidR="00897D54" w:rsidRDefault="00897D54">
      <w:pPr>
        <w:rPr>
          <w:noProof/>
        </w:rPr>
      </w:pPr>
    </w:p>
    <w:p w:rsidR="00897D54" w:rsidRDefault="00897D54">
      <w:pPr>
        <w:rPr>
          <w:noProof/>
        </w:rPr>
        <w:sectPr w:rsidR="00897D54">
          <w:headerReference w:type="even" r:id="rId60"/>
          <w:headerReference w:type="default" r:id="rId61"/>
          <w:footerReference w:type="even" r:id="rId62"/>
          <w:footerReference w:type="default" r:id="rId63"/>
          <w:headerReference w:type="first" r:id="rId64"/>
          <w:footerReference w:type="first" r:id="rId65"/>
          <w:pgSz w:w="16839" w:h="11907" w:orient="landscape"/>
          <w:pgMar w:top="-709" w:right="1417" w:bottom="284" w:left="1134" w:header="709" w:footer="367" w:gutter="0"/>
          <w:cols w:space="708"/>
          <w:docGrid w:linePitch="360"/>
        </w:sectPr>
      </w:pPr>
    </w:p>
    <w:p w:rsidR="00897D54" w:rsidRDefault="00E84B56">
      <w:pPr>
        <w:pStyle w:val="ManualHeading3"/>
        <w:rPr>
          <w:noProof/>
        </w:rPr>
      </w:pPr>
      <w:bookmarkStart w:id="58" w:name="_Toc411605937"/>
      <w:bookmarkStart w:id="59" w:name="_Toc484003821"/>
      <w:bookmarkStart w:id="60" w:name="_Toc485024060"/>
      <w:r>
        <w:rPr>
          <w:noProof/>
        </w:rPr>
        <w:t>6.2.2</w:t>
      </w:r>
      <w:r>
        <w:rPr>
          <w:noProof/>
        </w:rPr>
        <w:tab/>
        <w:t>Répartition par nationalité dans les agences</w:t>
      </w:r>
      <w:bookmarkEnd w:id="58"/>
      <w:bookmarkEnd w:id="59"/>
      <w:bookmarkEnd w:id="60"/>
    </w:p>
    <w:p w:rsidR="00897D54" w:rsidRDefault="00E84B56">
      <w:pPr>
        <w:jc w:val="both"/>
        <w:rPr>
          <w:rFonts w:ascii="Times New Roman" w:hAnsi="Times New Roman" w:cs="Times New Roman"/>
          <w:noProof/>
        </w:rPr>
      </w:pPr>
      <w:r>
        <w:rPr>
          <w:rFonts w:ascii="Times New Roman" w:hAnsi="Times New Roman"/>
          <w:noProof/>
        </w:rPr>
        <w:t>Comme indiqué ci-dessus pour la Commission, le tableau 15 ci-dessous confirme que la localisation des agences joue un rôle prépondérant dans la nationalité de son personnel AC.</w:t>
      </w:r>
    </w:p>
    <w:p w:rsidR="00897D54" w:rsidRDefault="00E84B56">
      <w:pPr>
        <w:jc w:val="both"/>
        <w:rPr>
          <w:rFonts w:ascii="Times New Roman" w:hAnsi="Times New Roman"/>
          <w:noProof/>
        </w:rPr>
      </w:pPr>
      <w:r>
        <w:rPr>
          <w:rFonts w:ascii="Times New Roman" w:hAnsi="Times New Roman"/>
          <w:noProof/>
        </w:rPr>
        <w:t>Les agences exécutives, situées sur les mêmes sites de la Commission, affichent des tendances comparables à celles de la Commission: les citoyens de l’Union européenne les plus représentés sont ainsi les Belges, les Italiens, les Espagnols et les Français.</w:t>
      </w:r>
    </w:p>
    <w:p w:rsidR="00897D54" w:rsidRDefault="00E84B56">
      <w:pPr>
        <w:jc w:val="both"/>
        <w:rPr>
          <w:rFonts w:ascii="Times New Roman" w:hAnsi="Times New Roman" w:cs="Times New Roman"/>
          <w:noProof/>
        </w:rPr>
      </w:pPr>
      <w:r>
        <w:rPr>
          <w:rFonts w:ascii="Times New Roman" w:hAnsi="Times New Roman"/>
          <w:noProof/>
        </w:rPr>
        <w:t>De même, la répartition par nationalité des agents contractuels dans les agences décentralisées et les entreprises communes correspond à la localisation de ces dernières.</w:t>
      </w:r>
    </w:p>
    <w:p w:rsidR="00897D54" w:rsidRDefault="00897D54">
      <w:pPr>
        <w:pStyle w:val="NormalCentered"/>
        <w:rPr>
          <w:b/>
          <w:noProof/>
        </w:rPr>
      </w:pPr>
    </w:p>
    <w:p w:rsidR="00897D54" w:rsidRDefault="00E84B56">
      <w:pPr>
        <w:pStyle w:val="NormalCentered"/>
        <w:jc w:val="left"/>
        <w:rPr>
          <w:b/>
          <w:noProof/>
          <w:sz w:val="22"/>
          <w:szCs w:val="22"/>
        </w:rPr>
      </w:pPr>
      <w:r>
        <w:rPr>
          <w:b/>
          <w:noProof/>
          <w:sz w:val="22"/>
        </w:rPr>
        <w:t xml:space="preserve">Tableau 15 </w:t>
      </w:r>
      <w:r>
        <w:rPr>
          <w:noProof/>
        </w:rPr>
        <w:tab/>
      </w:r>
      <w:r>
        <w:rPr>
          <w:b/>
          <w:noProof/>
          <w:sz w:val="22"/>
        </w:rPr>
        <w:t>Répartition par nationalité dans les agences et les entreprises communes en 2015</w:t>
      </w:r>
      <w:r>
        <w:rPr>
          <w:rStyle w:val="FootnoteReference"/>
          <w:b/>
          <w:noProof/>
          <w:sz w:val="22"/>
        </w:rPr>
        <w:footnoteReference w:id="15"/>
      </w:r>
    </w:p>
    <w:p w:rsidR="00897D54" w:rsidRDefault="00897D54">
      <w:pPr>
        <w:pStyle w:val="NormalCentered"/>
        <w:jc w:val="left"/>
        <w:rPr>
          <w:b/>
          <w:noProof/>
          <w:sz w:val="22"/>
        </w:rPr>
      </w:pPr>
    </w:p>
    <w:p w:rsidR="00897D54" w:rsidRDefault="00E84B56">
      <w:pPr>
        <w:pStyle w:val="NormalCentered"/>
        <w:jc w:val="left"/>
        <w:rPr>
          <w:b/>
          <w:noProof/>
          <w:sz w:val="22"/>
        </w:rPr>
      </w:pPr>
      <w:r>
        <w:rPr>
          <w:b/>
          <w:noProof/>
          <w:sz w:val="22"/>
          <w:lang w:val="en-GB" w:eastAsia="en-GB" w:bidi="ar-SA"/>
        </w:rPr>
        <w:drawing>
          <wp:inline distT="0" distB="0" distL="0" distR="0">
            <wp:extent cx="5773420" cy="28778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3420" cy="2877820"/>
                    </a:xfrm>
                    <a:prstGeom prst="rect">
                      <a:avLst/>
                    </a:prstGeom>
                    <a:noFill/>
                  </pic:spPr>
                </pic:pic>
              </a:graphicData>
            </a:graphic>
          </wp:inline>
        </w:drawing>
      </w:r>
    </w:p>
    <w:p w:rsidR="00897D54" w:rsidRDefault="00897D54">
      <w:pPr>
        <w:pStyle w:val="NormalCentered"/>
        <w:jc w:val="left"/>
        <w:rPr>
          <w:b/>
          <w:noProof/>
          <w:sz w:val="22"/>
        </w:rPr>
      </w:pPr>
    </w:p>
    <w:p w:rsidR="00897D54" w:rsidRDefault="00897D54">
      <w:pPr>
        <w:pStyle w:val="NormalCentered"/>
        <w:jc w:val="left"/>
        <w:rPr>
          <w:b/>
          <w:noProof/>
          <w:sz w:val="22"/>
        </w:rPr>
      </w:pPr>
    </w:p>
    <w:p w:rsidR="00897D54" w:rsidRDefault="00897D54">
      <w:pPr>
        <w:pStyle w:val="Text1"/>
        <w:rPr>
          <w:noProof/>
        </w:rPr>
        <w:sectPr w:rsidR="00897D54">
          <w:headerReference w:type="even" r:id="rId67"/>
          <w:headerReference w:type="default" r:id="rId68"/>
          <w:footerReference w:type="even" r:id="rId69"/>
          <w:footerReference w:type="default" r:id="rId70"/>
          <w:headerReference w:type="first" r:id="rId71"/>
          <w:footerReference w:type="first" r:id="rId72"/>
          <w:pgSz w:w="11907" w:h="16839"/>
          <w:pgMar w:top="851" w:right="1418" w:bottom="851" w:left="1418" w:header="709" w:footer="369" w:gutter="0"/>
          <w:cols w:space="708"/>
          <w:docGrid w:linePitch="360"/>
        </w:sectPr>
      </w:pPr>
    </w:p>
    <w:p w:rsidR="00897D54" w:rsidRDefault="00897D54">
      <w:pPr>
        <w:spacing w:after="0"/>
        <w:ind w:left="-567" w:firstLine="142"/>
        <w:jc w:val="center"/>
        <w:rPr>
          <w:noProof/>
        </w:rPr>
      </w:pPr>
    </w:p>
    <w:p w:rsidR="00897D54" w:rsidRDefault="00897D54">
      <w:pPr>
        <w:spacing w:after="0"/>
        <w:ind w:left="-567" w:firstLine="142"/>
        <w:jc w:val="right"/>
        <w:rPr>
          <w:b/>
          <w:noProof/>
        </w:rPr>
      </w:pPr>
    </w:p>
    <w:p w:rsidR="00897D54" w:rsidRDefault="00E84B56">
      <w:pPr>
        <w:pStyle w:val="NormalCentered"/>
        <w:jc w:val="left"/>
        <w:rPr>
          <w:noProof/>
          <w:sz w:val="22"/>
          <w:szCs w:val="22"/>
        </w:rPr>
      </w:pPr>
      <w:r>
        <w:rPr>
          <w:b/>
          <w:noProof/>
          <w:sz w:val="22"/>
        </w:rPr>
        <w:t>Tableau 16</w:t>
      </w:r>
      <w:r>
        <w:rPr>
          <w:noProof/>
        </w:rPr>
        <w:tab/>
      </w:r>
      <w:r>
        <w:rPr>
          <w:rFonts w:asciiTheme="minorHAnsi" w:eastAsiaTheme="minorHAnsi" w:hAnsiTheme="minorHAnsi" w:cstheme="minorBidi"/>
          <w:b/>
          <w:noProof/>
          <w:sz w:val="22"/>
        </w:rPr>
        <w:t xml:space="preserve"> </w:t>
      </w:r>
      <w:r>
        <w:rPr>
          <w:b/>
          <w:noProof/>
          <w:sz w:val="22"/>
        </w:rPr>
        <w:t>Répartition par nationalité pour chaque agence ou entreprise commune en 2015</w:t>
      </w:r>
    </w:p>
    <w:p w:rsidR="00897D54" w:rsidRDefault="00897D54">
      <w:pPr>
        <w:spacing w:after="0"/>
        <w:ind w:left="-567" w:firstLine="142"/>
        <w:jc w:val="center"/>
        <w:rPr>
          <w:noProof/>
        </w:rPr>
      </w:pPr>
    </w:p>
    <w:p w:rsidR="00897D54" w:rsidRDefault="00E84B56">
      <w:pPr>
        <w:rPr>
          <w:noProof/>
        </w:rPr>
      </w:pPr>
      <w:r>
        <w:rPr>
          <w:noProof/>
          <w:lang w:val="en-GB" w:eastAsia="en-GB" w:bidi="ar-SA"/>
        </w:rPr>
        <w:drawing>
          <wp:inline distT="0" distB="0" distL="0" distR="0">
            <wp:extent cx="8899452" cy="4380614"/>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893175" cy="4377524"/>
                    </a:xfrm>
                    <a:prstGeom prst="rect">
                      <a:avLst/>
                    </a:prstGeom>
                    <a:noFill/>
                    <a:ln>
                      <a:noFill/>
                    </a:ln>
                  </pic:spPr>
                </pic:pic>
              </a:graphicData>
            </a:graphic>
          </wp:inline>
        </w:drawing>
      </w:r>
    </w:p>
    <w:sectPr w:rsidR="00897D54">
      <w:headerReference w:type="even" r:id="rId74"/>
      <w:headerReference w:type="default" r:id="rId75"/>
      <w:footerReference w:type="even" r:id="rId76"/>
      <w:footerReference w:type="default" r:id="rId77"/>
      <w:headerReference w:type="first" r:id="rId78"/>
      <w:footerReference w:type="first" r:id="rId79"/>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1F" w:rsidRDefault="00AD2C1F">
      <w:pPr>
        <w:spacing w:after="0" w:line="240" w:lineRule="auto"/>
      </w:pPr>
      <w:r>
        <w:separator/>
      </w:r>
    </w:p>
  </w:endnote>
  <w:endnote w:type="continuationSeparator" w:id="0">
    <w:p w:rsidR="00AD2C1F" w:rsidRDefault="00AD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AD2C1F">
    <w:pPr>
      <w:pStyle w:val="Footer"/>
      <w:jc w:val="center"/>
      <w:rPr>
        <w:noProof/>
      </w:rPr>
    </w:pPr>
    <w:sdt>
      <w:sdtPr>
        <w:id w:val="-1188360403"/>
        <w:docPartObj>
          <w:docPartGallery w:val="Page Numbers (Bottom of Page)"/>
          <w:docPartUnique/>
        </w:docPartObj>
      </w:sdtPr>
      <w:sdtEndPr>
        <w:rPr>
          <w:noProof/>
        </w:rPr>
      </w:sdtEndPr>
      <w:sdtContent>
        <w:r w:rsidR="00E84B56">
          <w:fldChar w:fldCharType="begin"/>
        </w:r>
        <w:r w:rsidR="00E84B56">
          <w:instrText xml:space="preserve"> PAGE   \* MERGEFORMAT </w:instrText>
        </w:r>
        <w:r w:rsidR="00E84B56">
          <w:fldChar w:fldCharType="separate"/>
        </w:r>
        <w:r w:rsidR="00714817">
          <w:rPr>
            <w:noProof/>
          </w:rPr>
          <w:t>21</w:t>
        </w:r>
        <w:r w:rsidR="00E84B56">
          <w:rPr>
            <w:noProof/>
          </w:rPr>
          <w:fldChar w:fldCharType="end"/>
        </w:r>
      </w:sdtContent>
    </w:sdt>
  </w:p>
  <w:p w:rsidR="00897D54" w:rsidRDefault="00897D54">
    <w:pPr>
      <w:pStyle w:val="Footer"/>
      <w:tabs>
        <w:tab w:val="clear" w:pos="4536"/>
        <w:tab w:val="clear" w:pos="9072"/>
        <w:tab w:val="left" w:pos="4152"/>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464078"/>
      <w:docPartObj>
        <w:docPartGallery w:val="Page Numbers (Bottom of Page)"/>
        <w:docPartUnique/>
      </w:docPartObj>
    </w:sdtPr>
    <w:sdtEndPr>
      <w:rPr>
        <w:noProof/>
      </w:rPr>
    </w:sdtEndPr>
    <w:sdtContent>
      <w:p w:rsidR="00897D54" w:rsidRDefault="00E84B56">
        <w:pPr>
          <w:pStyle w:val="Footer"/>
          <w:jc w:val="center"/>
        </w:pPr>
        <w:r>
          <w:fldChar w:fldCharType="begin"/>
        </w:r>
        <w:r>
          <w:instrText xml:space="preserve"> PAGE   \* MERGEFORMAT </w:instrText>
        </w:r>
        <w:r>
          <w:fldChar w:fldCharType="separate"/>
        </w:r>
        <w:r w:rsidR="00714817">
          <w:rPr>
            <w:noProof/>
          </w:rPr>
          <w:t>23</w:t>
        </w:r>
        <w:r>
          <w:rPr>
            <w:noProof/>
          </w:rPr>
          <w:fldChar w:fldCharType="end"/>
        </w:r>
      </w:p>
    </w:sdtContent>
  </w:sdt>
  <w:p w:rsidR="00897D54" w:rsidRDefault="00897D5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E84B56">
    <w:pPr>
      <w:pStyle w:val="Footer"/>
      <w:jc w:val="center"/>
    </w:pPr>
    <w:r>
      <w:tab/>
    </w:r>
    <w:sdt>
      <w:sdtPr>
        <w:id w:val="17359626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14817">
          <w:rPr>
            <w:noProof/>
          </w:rPr>
          <w:t>24</w:t>
        </w:r>
        <w:r>
          <w:rPr>
            <w:noProof/>
          </w:rPr>
          <w:fldChar w:fldCharType="end"/>
        </w:r>
      </w:sdtContent>
    </w:sdt>
  </w:p>
  <w:p w:rsidR="00897D54" w:rsidRDefault="00897D54">
    <w:pPr>
      <w:pStyle w:val="Footer"/>
      <w:tabs>
        <w:tab w:val="clear" w:pos="4536"/>
        <w:tab w:val="clear" w:pos="9072"/>
        <w:tab w:val="left" w:pos="638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E84B56">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FR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5654"/>
      <w:docPartObj>
        <w:docPartGallery w:val="Page Numbers (Bottom of Page)"/>
        <w:docPartUnique/>
      </w:docPartObj>
    </w:sdtPr>
    <w:sdtEndPr>
      <w:rPr>
        <w:noProof/>
      </w:rPr>
    </w:sdtEndPr>
    <w:sdtContent>
      <w:p w:rsidR="00897D54" w:rsidRDefault="00E84B56">
        <w:pPr>
          <w:pStyle w:val="Footer"/>
          <w:jc w:val="center"/>
        </w:pPr>
        <w:r>
          <w:fldChar w:fldCharType="begin"/>
        </w:r>
        <w:r>
          <w:instrText xml:space="preserve"> PAGE   \* MERGEFORMAT </w:instrText>
        </w:r>
        <w:r>
          <w:fldChar w:fldCharType="separate"/>
        </w:r>
        <w:r w:rsidR="00714817">
          <w:rPr>
            <w:noProof/>
          </w:rPr>
          <w:t>25</w:t>
        </w:r>
        <w:r>
          <w:rPr>
            <w:noProof/>
          </w:rPr>
          <w:fldChar w:fldCharType="end"/>
        </w:r>
      </w:p>
    </w:sdtContent>
  </w:sdt>
  <w:p w:rsidR="00897D54" w:rsidRDefault="00897D54">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978678"/>
      <w:docPartObj>
        <w:docPartGallery w:val="Page Numbers (Bottom of Page)"/>
        <w:docPartUnique/>
      </w:docPartObj>
    </w:sdtPr>
    <w:sdtEndPr>
      <w:rPr>
        <w:noProof/>
      </w:rPr>
    </w:sdtEndPr>
    <w:sdtContent>
      <w:p w:rsidR="00897D54" w:rsidRDefault="00E84B56">
        <w:pPr>
          <w:pStyle w:val="Footer"/>
          <w:jc w:val="center"/>
        </w:pPr>
        <w:r>
          <w:fldChar w:fldCharType="begin"/>
        </w:r>
        <w:r>
          <w:instrText xml:space="preserve"> PAGE   \* MERGEFORMAT </w:instrText>
        </w:r>
        <w:r>
          <w:fldChar w:fldCharType="separate"/>
        </w:r>
        <w:r w:rsidR="00714817">
          <w:rPr>
            <w:noProof/>
          </w:rPr>
          <w:t>26</w:t>
        </w:r>
        <w:r>
          <w:rPr>
            <w:noProof/>
          </w:rPr>
          <w:fldChar w:fldCharType="end"/>
        </w:r>
      </w:p>
    </w:sdtContent>
  </w:sdt>
  <w:p w:rsidR="00897D54" w:rsidRDefault="00897D54">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Landscap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644205"/>
      <w:docPartObj>
        <w:docPartGallery w:val="Page Numbers (Bottom of Page)"/>
        <w:docPartUnique/>
      </w:docPartObj>
    </w:sdtPr>
    <w:sdtEndPr>
      <w:rPr>
        <w:noProof/>
      </w:rPr>
    </w:sdtEndPr>
    <w:sdtContent>
      <w:p w:rsidR="00897D54" w:rsidRDefault="00E84B56">
        <w:pPr>
          <w:pStyle w:val="Footer"/>
          <w:jc w:val="center"/>
        </w:pPr>
        <w:r>
          <w:fldChar w:fldCharType="begin"/>
        </w:r>
        <w:r>
          <w:instrText xml:space="preserve"> PAGE   \* MERGEFORMAT </w:instrText>
        </w:r>
        <w:r>
          <w:fldChar w:fldCharType="separate"/>
        </w:r>
        <w:r w:rsidR="00714817">
          <w:rPr>
            <w:noProof/>
          </w:rPr>
          <w:t>2</w:t>
        </w:r>
        <w:r>
          <w:rPr>
            <w:noProof/>
          </w:rPr>
          <w:fldChar w:fldCharType="end"/>
        </w:r>
      </w:p>
    </w:sdtContent>
  </w:sdt>
  <w:p w:rsidR="00897D54" w:rsidRDefault="00897D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8830"/>
      <w:docPartObj>
        <w:docPartGallery w:val="Page Numbers (Bottom of Page)"/>
        <w:docPartUnique/>
      </w:docPartObj>
    </w:sdtPr>
    <w:sdtEndPr>
      <w:rPr>
        <w:noProof/>
      </w:rPr>
    </w:sdtEndPr>
    <w:sdtContent>
      <w:p w:rsidR="00897D54" w:rsidRDefault="00E84B56">
        <w:pPr>
          <w:pStyle w:val="Footer"/>
          <w:jc w:val="center"/>
        </w:pPr>
        <w:r>
          <w:fldChar w:fldCharType="begin"/>
        </w:r>
        <w:r>
          <w:instrText xml:space="preserve"> PAGE   \* MERGEFORMAT </w:instrText>
        </w:r>
        <w:r>
          <w:fldChar w:fldCharType="separate"/>
        </w:r>
        <w:r w:rsidR="00714817">
          <w:rPr>
            <w:noProof/>
          </w:rPr>
          <w:t>4</w:t>
        </w:r>
        <w:r>
          <w:rPr>
            <w:noProof/>
          </w:rPr>
          <w:fldChar w:fldCharType="end"/>
        </w:r>
      </w:p>
    </w:sdtContent>
  </w:sdt>
  <w:p w:rsidR="00897D54" w:rsidRDefault="00897D5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1F" w:rsidRDefault="00AD2C1F">
      <w:pPr>
        <w:spacing w:after="0" w:line="240" w:lineRule="auto"/>
      </w:pPr>
      <w:r>
        <w:separator/>
      </w:r>
    </w:p>
  </w:footnote>
  <w:footnote w:type="continuationSeparator" w:id="0">
    <w:p w:rsidR="00AD2C1F" w:rsidRDefault="00AD2C1F">
      <w:pPr>
        <w:spacing w:after="0" w:line="240" w:lineRule="auto"/>
      </w:pPr>
      <w:r>
        <w:continuationSeparator/>
      </w:r>
    </w:p>
  </w:footnote>
  <w:footnote w:id="1">
    <w:p w:rsidR="00897D54" w:rsidRDefault="00E84B56">
      <w:pPr>
        <w:pStyle w:val="FootnoteText"/>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2">
    <w:p w:rsidR="00897D54" w:rsidRDefault="00E84B56">
      <w:pPr>
        <w:pStyle w:val="FootnoteText"/>
      </w:pPr>
      <w:r>
        <w:rPr>
          <w:rStyle w:val="FootnoteReference"/>
        </w:rPr>
        <w:footnoteRef/>
      </w:r>
      <w:r>
        <w:t xml:space="preserve"> </w:t>
      </w:r>
      <w:r>
        <w:rPr>
          <w:sz w:val="16"/>
        </w:rPr>
        <w:t>En particulier, le nombre d'intérimaires est passé de 415 au 1</w:t>
      </w:r>
      <w:r>
        <w:rPr>
          <w:sz w:val="16"/>
          <w:vertAlign w:val="superscript"/>
        </w:rPr>
        <w:t>er</w:t>
      </w:r>
      <w:r>
        <w:rPr>
          <w:sz w:val="16"/>
        </w:rPr>
        <w:t xml:space="preserve"> juillet 2013 à 171 au 1</w:t>
      </w:r>
      <w:r>
        <w:rPr>
          <w:sz w:val="16"/>
          <w:vertAlign w:val="superscript"/>
        </w:rPr>
        <w:t>er</w:t>
      </w:r>
      <w:r>
        <w:rPr>
          <w:sz w:val="16"/>
        </w:rPr>
        <w:t xml:space="preserve"> juillet 2015.</w:t>
      </w:r>
    </w:p>
  </w:footnote>
  <w:footnote w:id="3">
    <w:p w:rsidR="00897D54" w:rsidRDefault="00E84B56">
      <w:pPr>
        <w:pStyle w:val="FootnoteText"/>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4">
    <w:p w:rsidR="00897D54" w:rsidRDefault="00E84B56">
      <w:pPr>
        <w:pStyle w:val="FootnoteText"/>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5">
    <w:p w:rsidR="00897D54" w:rsidRDefault="00E84B56">
      <w:pPr>
        <w:pStyle w:val="FootnoteText"/>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6">
    <w:p w:rsidR="00897D54" w:rsidRDefault="00E84B56">
      <w:pPr>
        <w:pStyle w:val="FootnoteText"/>
        <w:ind w:left="0" w:firstLine="0"/>
      </w:pPr>
      <w:r>
        <w:rPr>
          <w:rStyle w:val="FootnoteReference"/>
        </w:rPr>
        <w:footnoteRef/>
      </w:r>
      <w:r>
        <w:t xml:space="preserve"> </w:t>
      </w:r>
      <w:r>
        <w:rPr>
          <w:sz w:val="16"/>
        </w:rPr>
        <w:t>Il convient de noter qu’à la suite de la création de la DG NEAR, en 2015, environ 200 agents contractuels travaillant dans le cadre de la politique de voisinage ont été transférés de la DG DEVCO vers la DG NEAR.</w:t>
      </w:r>
    </w:p>
  </w:footnote>
  <w:footnote w:id="7">
    <w:p w:rsidR="00897D54" w:rsidRDefault="00E84B56">
      <w:pPr>
        <w:pStyle w:val="FootnoteText"/>
        <w:rPr>
          <w:lang w:val="fr-BE"/>
        </w:rPr>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8">
    <w:p w:rsidR="00897D54" w:rsidRDefault="00E84B56">
      <w:pPr>
        <w:pStyle w:val="FootnoteText"/>
        <w:rPr>
          <w:lang w:val="fr-BE"/>
        </w:rPr>
      </w:pPr>
      <w:r>
        <w:rPr>
          <w:rStyle w:val="FootnoteReference"/>
        </w:rPr>
        <w:footnoteRef/>
      </w:r>
      <w:r>
        <w:t xml:space="preserve"> </w:t>
      </w:r>
      <w:r>
        <w:rPr>
          <w:sz w:val="16"/>
        </w:rPr>
        <w:t xml:space="preserve">Source: Commission HR </w:t>
      </w:r>
      <w:proofErr w:type="spellStart"/>
      <w:r>
        <w:rPr>
          <w:sz w:val="16"/>
        </w:rPr>
        <w:t>Analytics</w:t>
      </w:r>
      <w:proofErr w:type="spellEnd"/>
      <w:r>
        <w:rPr>
          <w:sz w:val="16"/>
        </w:rPr>
        <w:t xml:space="preserve"> Platform</w:t>
      </w:r>
    </w:p>
  </w:footnote>
  <w:footnote w:id="9">
    <w:p w:rsidR="00897D54" w:rsidRDefault="00E84B56">
      <w:pPr>
        <w:pStyle w:val="FootnoteText"/>
        <w:rPr>
          <w:lang w:val="fr-BE"/>
        </w:rPr>
      </w:pPr>
      <w:r>
        <w:rPr>
          <w:rStyle w:val="FootnoteReference"/>
        </w:rPr>
        <w:footnoteRef/>
      </w:r>
      <w:r>
        <w:t xml:space="preserve"> </w:t>
      </w:r>
      <w:r>
        <w:rPr>
          <w:sz w:val="16"/>
        </w:rPr>
        <w:t>Source: Eurostat et institutions de l’UE.</w:t>
      </w:r>
    </w:p>
  </w:footnote>
  <w:footnote w:id="10">
    <w:p w:rsidR="00897D54" w:rsidRDefault="00E84B56">
      <w:pPr>
        <w:pStyle w:val="FootnoteText"/>
        <w:rPr>
          <w:lang w:val="fr-BE"/>
        </w:rPr>
      </w:pPr>
      <w:r>
        <w:rPr>
          <w:rStyle w:val="FootnoteReference"/>
        </w:rPr>
        <w:footnoteRef/>
      </w:r>
      <w:r>
        <w:t xml:space="preserve"> </w:t>
      </w:r>
      <w:r>
        <w:rPr>
          <w:sz w:val="16"/>
        </w:rPr>
        <w:t>Source: Eurostat et institutions de l’UE.</w:t>
      </w:r>
    </w:p>
  </w:footnote>
  <w:footnote w:id="11">
    <w:p w:rsidR="00897D54" w:rsidRDefault="00E84B56">
      <w:pPr>
        <w:pStyle w:val="FootnoteText"/>
        <w:rPr>
          <w:lang w:val="fr-BE"/>
        </w:rPr>
      </w:pPr>
      <w:r>
        <w:rPr>
          <w:rStyle w:val="FootnoteReference"/>
        </w:rPr>
        <w:footnoteRef/>
      </w:r>
      <w:r>
        <w:t xml:space="preserve"> </w:t>
      </w:r>
      <w:r>
        <w:rPr>
          <w:sz w:val="16"/>
        </w:rPr>
        <w:t>Source: Eurostat et institutions de l’UE.</w:t>
      </w:r>
    </w:p>
  </w:footnote>
  <w:footnote w:id="12">
    <w:p w:rsidR="00897D54" w:rsidRDefault="00E84B56">
      <w:pPr>
        <w:pStyle w:val="FootnoteText"/>
        <w:rPr>
          <w:lang w:val="fr-BE"/>
        </w:rPr>
      </w:pPr>
      <w:r>
        <w:rPr>
          <w:rStyle w:val="FootnoteReference"/>
        </w:rPr>
        <w:footnoteRef/>
      </w:r>
      <w:r>
        <w:t xml:space="preserve"> </w:t>
      </w:r>
      <w:r>
        <w:rPr>
          <w:sz w:val="16"/>
        </w:rPr>
        <w:t>Source: Eurostat et institutions de l’UE.</w:t>
      </w:r>
    </w:p>
  </w:footnote>
  <w:footnote w:id="13">
    <w:p w:rsidR="00897D54" w:rsidRDefault="00E84B56">
      <w:pPr>
        <w:pStyle w:val="FootnoteText"/>
      </w:pPr>
      <w:r>
        <w:rPr>
          <w:rStyle w:val="FootnoteReference"/>
        </w:rPr>
        <w:footnoteRef/>
      </w:r>
      <w:r>
        <w:t xml:space="preserve"> </w:t>
      </w:r>
      <w:r>
        <w:rPr>
          <w:sz w:val="16"/>
        </w:rPr>
        <w:t xml:space="preserve">Source: Eurostat et </w:t>
      </w:r>
      <w:proofErr w:type="spellStart"/>
      <w:r>
        <w:rPr>
          <w:sz w:val="16"/>
        </w:rPr>
        <w:t>Sysper</w:t>
      </w:r>
      <w:proofErr w:type="spellEnd"/>
      <w:r>
        <w:rPr>
          <w:sz w:val="16"/>
        </w:rPr>
        <w:t>.</w:t>
      </w:r>
    </w:p>
  </w:footnote>
  <w:footnote w:id="14">
    <w:p w:rsidR="00897D54" w:rsidRDefault="00E84B56">
      <w:pPr>
        <w:pStyle w:val="FootnoteText"/>
      </w:pPr>
      <w:r>
        <w:rPr>
          <w:rStyle w:val="FootnoteReference"/>
        </w:rPr>
        <w:footnoteRef/>
      </w:r>
      <w:r>
        <w:t xml:space="preserve"> </w:t>
      </w:r>
      <w:r>
        <w:rPr>
          <w:sz w:val="16"/>
        </w:rPr>
        <w:t xml:space="preserve">Source: Eurostat et </w:t>
      </w:r>
      <w:proofErr w:type="spellStart"/>
      <w:r>
        <w:rPr>
          <w:sz w:val="16"/>
        </w:rPr>
        <w:t>Sysper</w:t>
      </w:r>
      <w:proofErr w:type="spellEnd"/>
      <w:r>
        <w:rPr>
          <w:sz w:val="16"/>
        </w:rPr>
        <w:t>.</w:t>
      </w:r>
    </w:p>
  </w:footnote>
  <w:footnote w:id="15">
    <w:p w:rsidR="00897D54" w:rsidRDefault="00E84B56">
      <w:pPr>
        <w:pStyle w:val="FootnoteText"/>
      </w:pPr>
      <w:r>
        <w:rPr>
          <w:rStyle w:val="FootnoteReference"/>
        </w:rPr>
        <w:footnoteRef/>
      </w:r>
      <w:r>
        <w:t xml:space="preserve"> </w:t>
      </w:r>
      <w:r>
        <w:rPr>
          <w:sz w:val="16"/>
        </w:rPr>
        <w:t xml:space="preserve">Source: Eurostat et </w:t>
      </w:r>
      <w:proofErr w:type="spellStart"/>
      <w:r>
        <w:rPr>
          <w:sz w:val="16"/>
        </w:rPr>
        <w:t>Sysper</w:t>
      </w:r>
      <w:proofErr w:type="spellEnd"/>
      <w:r>
        <w:rPr>
          <w:sz w:val="16"/>
        </w:rPr>
        <w:t>, seuls les pays de l’UE-28.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4" w:rsidRDefault="00897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2F3C"/>
    <w:multiLevelType w:val="hybridMultilevel"/>
    <w:tmpl w:val="315C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E445F9"/>
    <w:multiLevelType w:val="multilevel"/>
    <w:tmpl w:val="405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01DC8"/>
    <w:multiLevelType w:val="hybridMultilevel"/>
    <w:tmpl w:val="9B4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B3016F"/>
    <w:multiLevelType w:val="multilevel"/>
    <w:tmpl w:val="3CB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A3F55"/>
    <w:multiLevelType w:val="hybridMultilevel"/>
    <w:tmpl w:val="BCF0F4E6"/>
    <w:lvl w:ilvl="0" w:tplc="97B0E5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ois lecomte">
    <w15:presenceInfo w15:providerId="Windows Live" w15:userId="c1a86ef45cf84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1C8147D01D345E7A31B801DD4860238"/>
    <w:docVar w:name="LW_CROSSREFERENCE" w:val="&lt;UNUSED&gt;"/>
    <w:docVar w:name="LW_DocType" w:val="NORMAL"/>
    <w:docVar w:name="LW_EMISSION" w:val="22.6.2017"/>
    <w:docVar w:name="LW_EMISSION_ISODATE" w:val="2017-06-22"/>
    <w:docVar w:name="LW_EMISSION_LOCATION" w:val="BRX"/>
    <w:docVar w:name="LW_EMISSION_PREFIX" w:val="Bruxelles, le "/>
    <w:docVar w:name="LW_EMISSION_SUFFIX" w:val=" "/>
    <w:docVar w:name="LW_ID_DOCTYPE_NONLW" w:val="CP-003"/>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334"/>
    <w:docVar w:name="LW_REF.INTERNE" w:val="&lt;UNUSED&gt;"/>
    <w:docVar w:name="LW_SOUS.TITRE.OBJ.CP" w:val="&lt;UNUSED&gt;"/>
    <w:docVar w:name="LW_SUPERTITRE" w:val="&lt;UNUSED&gt;"/>
    <w:docVar w:name="LW_TITRE.OBJ.CP" w:val="sur le recours aux agents contractuels en 2015"/>
    <w:docVar w:name="LW_TYPE.DOC.CP" w:val="RAPPORT DE LA COMMISSION"/>
  </w:docVars>
  <w:rsids>
    <w:rsidRoot w:val="00897D54"/>
    <w:rsid w:val="00714817"/>
    <w:rsid w:val="00897D54"/>
    <w:rsid w:val="00AD2C1F"/>
    <w:rsid w:val="00E84B5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shd w:val="clear" w:color="auto" w:fill="BFBFBF" w:themeFill="background1" w:themeFillShade="BF"/>
      <w:spacing w:before="240" w:after="60" w:line="240" w:lineRule="auto"/>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unhideWhenUsed/>
    <w:qFormat/>
    <w:pPr>
      <w:keepNext/>
      <w:spacing w:before="240" w:after="60" w:line="240" w:lineRule="auto"/>
      <w:ind w:left="720" w:hanging="360"/>
      <w:outlineLvl w:val="1"/>
    </w:pPr>
    <w:rPr>
      <w:rFonts w:eastAsiaTheme="majorEastAsi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Pr>
      <w:rFonts w:eastAsiaTheme="majorEastAsia" w:cstheme="majorBidi"/>
      <w:b/>
      <w:bCs/>
      <w:iCs/>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fr-FR"/>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fr-FR"/>
    </w:rPr>
  </w:style>
  <w:style w:type="character" w:customStyle="1" w:styleId="FooterCoverPageChar">
    <w:name w:val="Footer Cover Page Char"/>
    <w:basedOn w:val="TOCHeadingChar"/>
    <w:link w:val="FooterCoverPage"/>
    <w:rPr>
      <w:rFonts w:ascii="Times New Roman" w:eastAsia="Times New Roman" w:hAnsi="Times New Roman" w:cs="Times New Roman"/>
      <w:b w:val="0"/>
      <w:noProof/>
      <w:sz w:val="24"/>
      <w:szCs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noProof/>
      <w:sz w:val="24"/>
      <w:szCs w:val="24"/>
      <w:lang w:val="fr-FR"/>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shd w:val="clear" w:color="auto" w:fill="BFBFBF" w:themeFill="background1" w:themeFillShade="BF"/>
      <w:spacing w:before="240" w:after="60" w:line="240" w:lineRule="auto"/>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unhideWhenUsed/>
    <w:qFormat/>
    <w:pPr>
      <w:keepNext/>
      <w:spacing w:before="240" w:after="60" w:line="240" w:lineRule="auto"/>
      <w:ind w:left="720" w:hanging="360"/>
      <w:outlineLvl w:val="1"/>
    </w:pPr>
    <w:rPr>
      <w:rFonts w:eastAsiaTheme="majorEastAsi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Pr>
      <w:rFonts w:eastAsiaTheme="majorEastAsia" w:cstheme="majorBidi"/>
      <w:b/>
      <w:bCs/>
      <w:iCs/>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fr-FR"/>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fr-FR"/>
    </w:rPr>
  </w:style>
  <w:style w:type="character" w:customStyle="1" w:styleId="FooterCoverPageChar">
    <w:name w:val="Footer Cover Page Char"/>
    <w:basedOn w:val="TOCHeadingChar"/>
    <w:link w:val="FooterCoverPage"/>
    <w:rPr>
      <w:rFonts w:ascii="Times New Roman" w:eastAsia="Times New Roman" w:hAnsi="Times New Roman" w:cs="Times New Roman"/>
      <w:b w:val="0"/>
      <w:noProof/>
      <w:sz w:val="24"/>
      <w:szCs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noProof/>
      <w:sz w:val="24"/>
      <w:szCs w:val="24"/>
      <w:lang w:val="fr-FR"/>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972850">
          <w:marLeft w:val="0"/>
          <w:marRight w:val="0"/>
          <w:marTop w:val="0"/>
          <w:marBottom w:val="0"/>
          <w:divBdr>
            <w:top w:val="none" w:sz="0" w:space="0" w:color="auto"/>
            <w:left w:val="none" w:sz="0" w:space="0" w:color="auto"/>
            <w:bottom w:val="none" w:sz="0" w:space="0" w:color="auto"/>
            <w:right w:val="none" w:sz="0" w:space="0" w:color="auto"/>
          </w:divBdr>
          <w:divsChild>
            <w:div w:id="421613088">
              <w:marLeft w:val="0"/>
              <w:marRight w:val="0"/>
              <w:marTop w:val="0"/>
              <w:marBottom w:val="0"/>
              <w:divBdr>
                <w:top w:val="none" w:sz="0" w:space="0" w:color="auto"/>
                <w:left w:val="none" w:sz="0" w:space="0" w:color="auto"/>
                <w:bottom w:val="none" w:sz="0" w:space="0" w:color="auto"/>
                <w:right w:val="none" w:sz="0" w:space="0" w:color="auto"/>
              </w:divBdr>
              <w:divsChild>
                <w:div w:id="415713352">
                  <w:marLeft w:val="0"/>
                  <w:marRight w:val="0"/>
                  <w:marTop w:val="0"/>
                  <w:marBottom w:val="0"/>
                  <w:divBdr>
                    <w:top w:val="none" w:sz="0" w:space="0" w:color="auto"/>
                    <w:left w:val="none" w:sz="0" w:space="0" w:color="auto"/>
                    <w:bottom w:val="none" w:sz="0" w:space="0" w:color="auto"/>
                    <w:right w:val="none" w:sz="0" w:space="0" w:color="auto"/>
                  </w:divBdr>
                  <w:divsChild>
                    <w:div w:id="1679037745">
                      <w:marLeft w:val="0"/>
                      <w:marRight w:val="0"/>
                      <w:marTop w:val="0"/>
                      <w:marBottom w:val="0"/>
                      <w:divBdr>
                        <w:top w:val="none" w:sz="0" w:space="0" w:color="auto"/>
                        <w:left w:val="none" w:sz="0" w:space="0" w:color="auto"/>
                        <w:bottom w:val="none" w:sz="0" w:space="0" w:color="auto"/>
                        <w:right w:val="none" w:sz="0" w:space="0" w:color="auto"/>
                      </w:divBdr>
                      <w:divsChild>
                        <w:div w:id="1485195091">
                          <w:marLeft w:val="0"/>
                          <w:marRight w:val="0"/>
                          <w:marTop w:val="0"/>
                          <w:marBottom w:val="0"/>
                          <w:divBdr>
                            <w:top w:val="none" w:sz="0" w:space="0" w:color="auto"/>
                            <w:left w:val="none" w:sz="0" w:space="0" w:color="auto"/>
                            <w:bottom w:val="none" w:sz="0" w:space="0" w:color="auto"/>
                            <w:right w:val="none" w:sz="0" w:space="0" w:color="auto"/>
                          </w:divBdr>
                          <w:divsChild>
                            <w:div w:id="1520316421">
                              <w:marLeft w:val="-225"/>
                              <w:marRight w:val="-225"/>
                              <w:marTop w:val="0"/>
                              <w:marBottom w:val="0"/>
                              <w:divBdr>
                                <w:top w:val="none" w:sz="0" w:space="0" w:color="auto"/>
                                <w:left w:val="none" w:sz="0" w:space="0" w:color="auto"/>
                                <w:bottom w:val="none" w:sz="0" w:space="0" w:color="auto"/>
                                <w:right w:val="none" w:sz="0" w:space="0" w:color="auto"/>
                              </w:divBdr>
                              <w:divsChild>
                                <w:div w:id="659043397">
                                  <w:marLeft w:val="0"/>
                                  <w:marRight w:val="0"/>
                                  <w:marTop w:val="0"/>
                                  <w:marBottom w:val="0"/>
                                  <w:divBdr>
                                    <w:top w:val="none" w:sz="0" w:space="0" w:color="auto"/>
                                    <w:left w:val="none" w:sz="0" w:space="0" w:color="auto"/>
                                    <w:bottom w:val="none" w:sz="0" w:space="0" w:color="auto"/>
                                    <w:right w:val="none" w:sz="0" w:space="0" w:color="auto"/>
                                  </w:divBdr>
                                  <w:divsChild>
                                    <w:div w:id="2125686662">
                                      <w:marLeft w:val="-225"/>
                                      <w:marRight w:val="-225"/>
                                      <w:marTop w:val="0"/>
                                      <w:marBottom w:val="0"/>
                                      <w:divBdr>
                                        <w:top w:val="none" w:sz="0" w:space="0" w:color="auto"/>
                                        <w:left w:val="none" w:sz="0" w:space="0" w:color="auto"/>
                                        <w:bottom w:val="none" w:sz="0" w:space="0" w:color="auto"/>
                                        <w:right w:val="none" w:sz="0" w:space="0" w:color="auto"/>
                                      </w:divBdr>
                                      <w:divsChild>
                                        <w:div w:id="934820341">
                                          <w:marLeft w:val="0"/>
                                          <w:marRight w:val="0"/>
                                          <w:marTop w:val="0"/>
                                          <w:marBottom w:val="0"/>
                                          <w:divBdr>
                                            <w:top w:val="none" w:sz="0" w:space="0" w:color="auto"/>
                                            <w:left w:val="none" w:sz="0" w:space="0" w:color="auto"/>
                                            <w:bottom w:val="none" w:sz="0" w:space="0" w:color="auto"/>
                                            <w:right w:val="none" w:sz="0" w:space="0" w:color="auto"/>
                                          </w:divBdr>
                                          <w:divsChild>
                                            <w:div w:id="413167205">
                                              <w:marLeft w:val="0"/>
                                              <w:marRight w:val="0"/>
                                              <w:marTop w:val="0"/>
                                              <w:marBottom w:val="0"/>
                                              <w:divBdr>
                                                <w:top w:val="none" w:sz="0" w:space="0" w:color="auto"/>
                                                <w:left w:val="none" w:sz="0" w:space="0" w:color="auto"/>
                                                <w:bottom w:val="none" w:sz="0" w:space="0" w:color="auto"/>
                                                <w:right w:val="none" w:sz="0" w:space="0" w:color="auto"/>
                                              </w:divBdr>
                                              <w:divsChild>
                                                <w:div w:id="294263467">
                                                  <w:marLeft w:val="-225"/>
                                                  <w:marRight w:val="-225"/>
                                                  <w:marTop w:val="0"/>
                                                  <w:marBottom w:val="0"/>
                                                  <w:divBdr>
                                                    <w:top w:val="none" w:sz="0" w:space="0" w:color="auto"/>
                                                    <w:left w:val="none" w:sz="0" w:space="0" w:color="auto"/>
                                                    <w:bottom w:val="none" w:sz="0" w:space="0" w:color="auto"/>
                                                    <w:right w:val="none" w:sz="0" w:space="0" w:color="auto"/>
                                                  </w:divBdr>
                                                  <w:divsChild>
                                                    <w:div w:id="1148782660">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225"/>
                                                          <w:marRight w:val="-225"/>
                                                          <w:marTop w:val="0"/>
                                                          <w:marBottom w:val="0"/>
                                                          <w:divBdr>
                                                            <w:top w:val="none" w:sz="0" w:space="0" w:color="auto"/>
                                                            <w:left w:val="none" w:sz="0" w:space="0" w:color="auto"/>
                                                            <w:bottom w:val="none" w:sz="0" w:space="0" w:color="auto"/>
                                                            <w:right w:val="none" w:sz="0" w:space="0" w:color="auto"/>
                                                          </w:divBdr>
                                                          <w:divsChild>
                                                            <w:div w:id="478426264">
                                                              <w:marLeft w:val="0"/>
                                                              <w:marRight w:val="0"/>
                                                              <w:marTop w:val="0"/>
                                                              <w:marBottom w:val="0"/>
                                                              <w:divBdr>
                                                                <w:top w:val="none" w:sz="0" w:space="0" w:color="auto"/>
                                                                <w:left w:val="none" w:sz="0" w:space="0" w:color="auto"/>
                                                                <w:bottom w:val="none" w:sz="0" w:space="0" w:color="auto"/>
                                                                <w:right w:val="none" w:sz="0" w:space="0" w:color="auto"/>
                                                              </w:divBdr>
                                                              <w:divsChild>
                                                                <w:div w:id="1490291133">
                                                                  <w:marLeft w:val="0"/>
                                                                  <w:marRight w:val="0"/>
                                                                  <w:marTop w:val="0"/>
                                                                  <w:marBottom w:val="0"/>
                                                                  <w:divBdr>
                                                                    <w:top w:val="none" w:sz="0" w:space="0" w:color="auto"/>
                                                                    <w:left w:val="none" w:sz="0" w:space="0" w:color="auto"/>
                                                                    <w:bottom w:val="none" w:sz="0" w:space="0" w:color="auto"/>
                                                                    <w:right w:val="none" w:sz="0" w:space="0" w:color="auto"/>
                                                                  </w:divBdr>
                                                                  <w:divsChild>
                                                                    <w:div w:id="4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2889424">
      <w:bodyDiv w:val="1"/>
      <w:marLeft w:val="0"/>
      <w:marRight w:val="0"/>
      <w:marTop w:val="0"/>
      <w:marBottom w:val="0"/>
      <w:divBdr>
        <w:top w:val="none" w:sz="0" w:space="0" w:color="auto"/>
        <w:left w:val="none" w:sz="0" w:space="0" w:color="auto"/>
        <w:bottom w:val="none" w:sz="0" w:space="0" w:color="auto"/>
        <w:right w:val="none" w:sz="0" w:space="0" w:color="auto"/>
      </w:divBdr>
    </w:div>
    <w:div w:id="564292209">
      <w:bodyDiv w:val="1"/>
      <w:marLeft w:val="0"/>
      <w:marRight w:val="0"/>
      <w:marTop w:val="0"/>
      <w:marBottom w:val="0"/>
      <w:divBdr>
        <w:top w:val="none" w:sz="0" w:space="0" w:color="auto"/>
        <w:left w:val="none" w:sz="0" w:space="0" w:color="auto"/>
        <w:bottom w:val="none" w:sz="0" w:space="0" w:color="auto"/>
        <w:right w:val="none" w:sz="0" w:space="0" w:color="auto"/>
      </w:divBdr>
      <w:divsChild>
        <w:div w:id="2117367804">
          <w:marLeft w:val="0"/>
          <w:marRight w:val="0"/>
          <w:marTop w:val="0"/>
          <w:marBottom w:val="0"/>
          <w:divBdr>
            <w:top w:val="none" w:sz="0" w:space="0" w:color="auto"/>
            <w:left w:val="none" w:sz="0" w:space="0" w:color="auto"/>
            <w:bottom w:val="none" w:sz="0" w:space="0" w:color="auto"/>
            <w:right w:val="none" w:sz="0" w:space="0" w:color="auto"/>
          </w:divBdr>
          <w:divsChild>
            <w:div w:id="510264981">
              <w:marLeft w:val="0"/>
              <w:marRight w:val="0"/>
              <w:marTop w:val="0"/>
              <w:marBottom w:val="0"/>
              <w:divBdr>
                <w:top w:val="none" w:sz="0" w:space="0" w:color="auto"/>
                <w:left w:val="none" w:sz="0" w:space="0" w:color="auto"/>
                <w:bottom w:val="none" w:sz="0" w:space="0" w:color="auto"/>
                <w:right w:val="none" w:sz="0" w:space="0" w:color="auto"/>
              </w:divBdr>
              <w:divsChild>
                <w:div w:id="1251085524">
                  <w:marLeft w:val="0"/>
                  <w:marRight w:val="0"/>
                  <w:marTop w:val="0"/>
                  <w:marBottom w:val="0"/>
                  <w:divBdr>
                    <w:top w:val="none" w:sz="0" w:space="0" w:color="auto"/>
                    <w:left w:val="none" w:sz="0" w:space="0" w:color="auto"/>
                    <w:bottom w:val="none" w:sz="0" w:space="0" w:color="auto"/>
                    <w:right w:val="none" w:sz="0" w:space="0" w:color="auto"/>
                  </w:divBdr>
                  <w:divsChild>
                    <w:div w:id="291520565">
                      <w:marLeft w:val="0"/>
                      <w:marRight w:val="0"/>
                      <w:marTop w:val="0"/>
                      <w:marBottom w:val="0"/>
                      <w:divBdr>
                        <w:top w:val="none" w:sz="0" w:space="0" w:color="auto"/>
                        <w:left w:val="none" w:sz="0" w:space="0" w:color="auto"/>
                        <w:bottom w:val="none" w:sz="0" w:space="0" w:color="auto"/>
                        <w:right w:val="none" w:sz="0" w:space="0" w:color="auto"/>
                      </w:divBdr>
                      <w:divsChild>
                        <w:div w:id="403455107">
                          <w:marLeft w:val="0"/>
                          <w:marRight w:val="0"/>
                          <w:marTop w:val="0"/>
                          <w:marBottom w:val="0"/>
                          <w:divBdr>
                            <w:top w:val="none" w:sz="0" w:space="0" w:color="auto"/>
                            <w:left w:val="none" w:sz="0" w:space="0" w:color="auto"/>
                            <w:bottom w:val="none" w:sz="0" w:space="0" w:color="auto"/>
                            <w:right w:val="none" w:sz="0" w:space="0" w:color="auto"/>
                          </w:divBdr>
                          <w:divsChild>
                            <w:div w:id="665088612">
                              <w:marLeft w:val="-225"/>
                              <w:marRight w:val="-225"/>
                              <w:marTop w:val="0"/>
                              <w:marBottom w:val="0"/>
                              <w:divBdr>
                                <w:top w:val="none" w:sz="0" w:space="0" w:color="auto"/>
                                <w:left w:val="none" w:sz="0" w:space="0" w:color="auto"/>
                                <w:bottom w:val="none" w:sz="0" w:space="0" w:color="auto"/>
                                <w:right w:val="none" w:sz="0" w:space="0" w:color="auto"/>
                              </w:divBdr>
                              <w:divsChild>
                                <w:div w:id="66349398">
                                  <w:marLeft w:val="0"/>
                                  <w:marRight w:val="0"/>
                                  <w:marTop w:val="0"/>
                                  <w:marBottom w:val="0"/>
                                  <w:divBdr>
                                    <w:top w:val="none" w:sz="0" w:space="0" w:color="auto"/>
                                    <w:left w:val="none" w:sz="0" w:space="0" w:color="auto"/>
                                    <w:bottom w:val="none" w:sz="0" w:space="0" w:color="auto"/>
                                    <w:right w:val="none" w:sz="0" w:space="0" w:color="auto"/>
                                  </w:divBdr>
                                  <w:divsChild>
                                    <w:div w:id="934240760">
                                      <w:marLeft w:val="-225"/>
                                      <w:marRight w:val="-225"/>
                                      <w:marTop w:val="0"/>
                                      <w:marBottom w:val="0"/>
                                      <w:divBdr>
                                        <w:top w:val="none" w:sz="0" w:space="0" w:color="auto"/>
                                        <w:left w:val="none" w:sz="0" w:space="0" w:color="auto"/>
                                        <w:bottom w:val="none" w:sz="0" w:space="0" w:color="auto"/>
                                        <w:right w:val="none" w:sz="0" w:space="0" w:color="auto"/>
                                      </w:divBdr>
                                      <w:divsChild>
                                        <w:div w:id="1645506663">
                                          <w:marLeft w:val="0"/>
                                          <w:marRight w:val="0"/>
                                          <w:marTop w:val="0"/>
                                          <w:marBottom w:val="0"/>
                                          <w:divBdr>
                                            <w:top w:val="none" w:sz="0" w:space="0" w:color="auto"/>
                                            <w:left w:val="none" w:sz="0" w:space="0" w:color="auto"/>
                                            <w:bottom w:val="none" w:sz="0" w:space="0" w:color="auto"/>
                                            <w:right w:val="none" w:sz="0" w:space="0" w:color="auto"/>
                                          </w:divBdr>
                                          <w:divsChild>
                                            <w:div w:id="1027291436">
                                              <w:marLeft w:val="0"/>
                                              <w:marRight w:val="0"/>
                                              <w:marTop w:val="0"/>
                                              <w:marBottom w:val="0"/>
                                              <w:divBdr>
                                                <w:top w:val="none" w:sz="0" w:space="0" w:color="auto"/>
                                                <w:left w:val="none" w:sz="0" w:space="0" w:color="auto"/>
                                                <w:bottom w:val="none" w:sz="0" w:space="0" w:color="auto"/>
                                                <w:right w:val="none" w:sz="0" w:space="0" w:color="auto"/>
                                              </w:divBdr>
                                              <w:divsChild>
                                                <w:div w:id="1642883494">
                                                  <w:marLeft w:val="-225"/>
                                                  <w:marRight w:val="-225"/>
                                                  <w:marTop w:val="0"/>
                                                  <w:marBottom w:val="0"/>
                                                  <w:divBdr>
                                                    <w:top w:val="none" w:sz="0" w:space="0" w:color="auto"/>
                                                    <w:left w:val="none" w:sz="0" w:space="0" w:color="auto"/>
                                                    <w:bottom w:val="none" w:sz="0" w:space="0" w:color="auto"/>
                                                    <w:right w:val="none" w:sz="0" w:space="0" w:color="auto"/>
                                                  </w:divBdr>
                                                  <w:divsChild>
                                                    <w:div w:id="1128933885">
                                                      <w:marLeft w:val="0"/>
                                                      <w:marRight w:val="0"/>
                                                      <w:marTop w:val="0"/>
                                                      <w:marBottom w:val="0"/>
                                                      <w:divBdr>
                                                        <w:top w:val="none" w:sz="0" w:space="0" w:color="auto"/>
                                                        <w:left w:val="none" w:sz="0" w:space="0" w:color="auto"/>
                                                        <w:bottom w:val="none" w:sz="0" w:space="0" w:color="auto"/>
                                                        <w:right w:val="none" w:sz="0" w:space="0" w:color="auto"/>
                                                      </w:divBdr>
                                                      <w:divsChild>
                                                        <w:div w:id="823207827">
                                                          <w:marLeft w:val="-225"/>
                                                          <w:marRight w:val="-225"/>
                                                          <w:marTop w:val="0"/>
                                                          <w:marBottom w:val="0"/>
                                                          <w:divBdr>
                                                            <w:top w:val="none" w:sz="0" w:space="0" w:color="auto"/>
                                                            <w:left w:val="none" w:sz="0" w:space="0" w:color="auto"/>
                                                            <w:bottom w:val="none" w:sz="0" w:space="0" w:color="auto"/>
                                                            <w:right w:val="none" w:sz="0" w:space="0" w:color="auto"/>
                                                          </w:divBdr>
                                                          <w:divsChild>
                                                            <w:div w:id="192885945">
                                                              <w:marLeft w:val="0"/>
                                                              <w:marRight w:val="0"/>
                                                              <w:marTop w:val="0"/>
                                                              <w:marBottom w:val="0"/>
                                                              <w:divBdr>
                                                                <w:top w:val="none" w:sz="0" w:space="0" w:color="auto"/>
                                                                <w:left w:val="none" w:sz="0" w:space="0" w:color="auto"/>
                                                                <w:bottom w:val="none" w:sz="0" w:space="0" w:color="auto"/>
                                                                <w:right w:val="none" w:sz="0" w:space="0" w:color="auto"/>
                                                              </w:divBdr>
                                                              <w:divsChild>
                                                                <w:div w:id="923030257">
                                                                  <w:marLeft w:val="0"/>
                                                                  <w:marRight w:val="0"/>
                                                                  <w:marTop w:val="0"/>
                                                                  <w:marBottom w:val="0"/>
                                                                  <w:divBdr>
                                                                    <w:top w:val="none" w:sz="0" w:space="0" w:color="auto"/>
                                                                    <w:left w:val="none" w:sz="0" w:space="0" w:color="auto"/>
                                                                    <w:bottom w:val="none" w:sz="0" w:space="0" w:color="auto"/>
                                                                    <w:right w:val="none" w:sz="0" w:space="0" w:color="auto"/>
                                                                  </w:divBdr>
                                                                  <w:divsChild>
                                                                    <w:div w:id="1109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7052">
      <w:bodyDiv w:val="1"/>
      <w:marLeft w:val="0"/>
      <w:marRight w:val="0"/>
      <w:marTop w:val="0"/>
      <w:marBottom w:val="0"/>
      <w:divBdr>
        <w:top w:val="none" w:sz="0" w:space="0" w:color="auto"/>
        <w:left w:val="none" w:sz="0" w:space="0" w:color="auto"/>
        <w:bottom w:val="none" w:sz="0" w:space="0" w:color="auto"/>
        <w:right w:val="none" w:sz="0" w:space="0" w:color="auto"/>
      </w:divBdr>
    </w:div>
    <w:div w:id="1892842001">
      <w:bodyDiv w:val="1"/>
      <w:marLeft w:val="0"/>
      <w:marRight w:val="0"/>
      <w:marTop w:val="0"/>
      <w:marBottom w:val="0"/>
      <w:divBdr>
        <w:top w:val="none" w:sz="0" w:space="0" w:color="auto"/>
        <w:left w:val="none" w:sz="0" w:space="0" w:color="auto"/>
        <w:bottom w:val="none" w:sz="0" w:space="0" w:color="auto"/>
        <w:right w:val="none" w:sz="0" w:space="0" w:color="auto"/>
      </w:divBdr>
    </w:div>
    <w:div w:id="1991246618">
      <w:bodyDiv w:val="1"/>
      <w:marLeft w:val="0"/>
      <w:marRight w:val="0"/>
      <w:marTop w:val="0"/>
      <w:marBottom w:val="0"/>
      <w:divBdr>
        <w:top w:val="none" w:sz="0" w:space="0" w:color="auto"/>
        <w:left w:val="none" w:sz="0" w:space="0" w:color="auto"/>
        <w:bottom w:val="none" w:sz="0" w:space="0" w:color="auto"/>
        <w:right w:val="none" w:sz="0" w:space="0" w:color="auto"/>
      </w:divBdr>
      <w:divsChild>
        <w:div w:id="425805979">
          <w:marLeft w:val="0"/>
          <w:marRight w:val="0"/>
          <w:marTop w:val="0"/>
          <w:marBottom w:val="0"/>
          <w:divBdr>
            <w:top w:val="none" w:sz="0" w:space="0" w:color="auto"/>
            <w:left w:val="none" w:sz="0" w:space="0" w:color="auto"/>
            <w:bottom w:val="none" w:sz="0" w:space="0" w:color="auto"/>
            <w:right w:val="none" w:sz="0" w:space="0" w:color="auto"/>
          </w:divBdr>
          <w:divsChild>
            <w:div w:id="10036521">
              <w:marLeft w:val="0"/>
              <w:marRight w:val="0"/>
              <w:marTop w:val="0"/>
              <w:marBottom w:val="0"/>
              <w:divBdr>
                <w:top w:val="none" w:sz="0" w:space="0" w:color="auto"/>
                <w:left w:val="none" w:sz="0" w:space="0" w:color="auto"/>
                <w:bottom w:val="none" w:sz="0" w:space="0" w:color="auto"/>
                <w:right w:val="none" w:sz="0" w:space="0" w:color="auto"/>
              </w:divBdr>
              <w:divsChild>
                <w:div w:id="163709108">
                  <w:marLeft w:val="0"/>
                  <w:marRight w:val="0"/>
                  <w:marTop w:val="0"/>
                  <w:marBottom w:val="0"/>
                  <w:divBdr>
                    <w:top w:val="none" w:sz="0" w:space="0" w:color="auto"/>
                    <w:left w:val="none" w:sz="0" w:space="0" w:color="auto"/>
                    <w:bottom w:val="none" w:sz="0" w:space="0" w:color="auto"/>
                    <w:right w:val="none" w:sz="0" w:space="0" w:color="auto"/>
                  </w:divBdr>
                  <w:divsChild>
                    <w:div w:id="1914310357">
                      <w:marLeft w:val="0"/>
                      <w:marRight w:val="0"/>
                      <w:marTop w:val="0"/>
                      <w:marBottom w:val="0"/>
                      <w:divBdr>
                        <w:top w:val="none" w:sz="0" w:space="0" w:color="auto"/>
                        <w:left w:val="none" w:sz="0" w:space="0" w:color="auto"/>
                        <w:bottom w:val="none" w:sz="0" w:space="0" w:color="auto"/>
                        <w:right w:val="none" w:sz="0" w:space="0" w:color="auto"/>
                      </w:divBdr>
                      <w:divsChild>
                        <w:div w:id="824592098">
                          <w:marLeft w:val="0"/>
                          <w:marRight w:val="0"/>
                          <w:marTop w:val="0"/>
                          <w:marBottom w:val="0"/>
                          <w:divBdr>
                            <w:top w:val="none" w:sz="0" w:space="0" w:color="auto"/>
                            <w:left w:val="none" w:sz="0" w:space="0" w:color="auto"/>
                            <w:bottom w:val="none" w:sz="0" w:space="0" w:color="auto"/>
                            <w:right w:val="none" w:sz="0" w:space="0" w:color="auto"/>
                          </w:divBdr>
                          <w:divsChild>
                            <w:div w:id="2025982087">
                              <w:marLeft w:val="-225"/>
                              <w:marRight w:val="-225"/>
                              <w:marTop w:val="0"/>
                              <w:marBottom w:val="0"/>
                              <w:divBdr>
                                <w:top w:val="none" w:sz="0" w:space="0" w:color="auto"/>
                                <w:left w:val="none" w:sz="0" w:space="0" w:color="auto"/>
                                <w:bottom w:val="none" w:sz="0" w:space="0" w:color="auto"/>
                                <w:right w:val="none" w:sz="0" w:space="0" w:color="auto"/>
                              </w:divBdr>
                              <w:divsChild>
                                <w:div w:id="2131393731">
                                  <w:marLeft w:val="0"/>
                                  <w:marRight w:val="0"/>
                                  <w:marTop w:val="0"/>
                                  <w:marBottom w:val="0"/>
                                  <w:divBdr>
                                    <w:top w:val="none" w:sz="0" w:space="0" w:color="auto"/>
                                    <w:left w:val="none" w:sz="0" w:space="0" w:color="auto"/>
                                    <w:bottom w:val="none" w:sz="0" w:space="0" w:color="auto"/>
                                    <w:right w:val="none" w:sz="0" w:space="0" w:color="auto"/>
                                  </w:divBdr>
                                  <w:divsChild>
                                    <w:div w:id="71783436">
                                      <w:marLeft w:val="-225"/>
                                      <w:marRight w:val="-225"/>
                                      <w:marTop w:val="0"/>
                                      <w:marBottom w:val="0"/>
                                      <w:divBdr>
                                        <w:top w:val="none" w:sz="0" w:space="0" w:color="auto"/>
                                        <w:left w:val="none" w:sz="0" w:space="0" w:color="auto"/>
                                        <w:bottom w:val="none" w:sz="0" w:space="0" w:color="auto"/>
                                        <w:right w:val="none" w:sz="0" w:space="0" w:color="auto"/>
                                      </w:divBdr>
                                      <w:divsChild>
                                        <w:div w:id="1126965744">
                                          <w:marLeft w:val="0"/>
                                          <w:marRight w:val="0"/>
                                          <w:marTop w:val="0"/>
                                          <w:marBottom w:val="0"/>
                                          <w:divBdr>
                                            <w:top w:val="none" w:sz="0" w:space="0" w:color="auto"/>
                                            <w:left w:val="none" w:sz="0" w:space="0" w:color="auto"/>
                                            <w:bottom w:val="none" w:sz="0" w:space="0" w:color="auto"/>
                                            <w:right w:val="none" w:sz="0" w:space="0" w:color="auto"/>
                                          </w:divBdr>
                                          <w:divsChild>
                                            <w:div w:id="1713918390">
                                              <w:marLeft w:val="0"/>
                                              <w:marRight w:val="0"/>
                                              <w:marTop w:val="0"/>
                                              <w:marBottom w:val="0"/>
                                              <w:divBdr>
                                                <w:top w:val="none" w:sz="0" w:space="0" w:color="auto"/>
                                                <w:left w:val="none" w:sz="0" w:space="0" w:color="auto"/>
                                                <w:bottom w:val="none" w:sz="0" w:space="0" w:color="auto"/>
                                                <w:right w:val="none" w:sz="0" w:space="0" w:color="auto"/>
                                              </w:divBdr>
                                              <w:divsChild>
                                                <w:div w:id="1829176917">
                                                  <w:marLeft w:val="-225"/>
                                                  <w:marRight w:val="-225"/>
                                                  <w:marTop w:val="0"/>
                                                  <w:marBottom w:val="0"/>
                                                  <w:divBdr>
                                                    <w:top w:val="none" w:sz="0" w:space="0" w:color="auto"/>
                                                    <w:left w:val="none" w:sz="0" w:space="0" w:color="auto"/>
                                                    <w:bottom w:val="none" w:sz="0" w:space="0" w:color="auto"/>
                                                    <w:right w:val="none" w:sz="0" w:space="0" w:color="auto"/>
                                                  </w:divBdr>
                                                  <w:divsChild>
                                                    <w:div w:id="1264801117">
                                                      <w:marLeft w:val="0"/>
                                                      <w:marRight w:val="0"/>
                                                      <w:marTop w:val="0"/>
                                                      <w:marBottom w:val="0"/>
                                                      <w:divBdr>
                                                        <w:top w:val="none" w:sz="0" w:space="0" w:color="auto"/>
                                                        <w:left w:val="none" w:sz="0" w:space="0" w:color="auto"/>
                                                        <w:bottom w:val="none" w:sz="0" w:space="0" w:color="auto"/>
                                                        <w:right w:val="none" w:sz="0" w:space="0" w:color="auto"/>
                                                      </w:divBdr>
                                                      <w:divsChild>
                                                        <w:div w:id="1310095113">
                                                          <w:marLeft w:val="-225"/>
                                                          <w:marRight w:val="-225"/>
                                                          <w:marTop w:val="0"/>
                                                          <w:marBottom w:val="0"/>
                                                          <w:divBdr>
                                                            <w:top w:val="none" w:sz="0" w:space="0" w:color="auto"/>
                                                            <w:left w:val="none" w:sz="0" w:space="0" w:color="auto"/>
                                                            <w:bottom w:val="none" w:sz="0" w:space="0" w:color="auto"/>
                                                            <w:right w:val="none" w:sz="0" w:space="0" w:color="auto"/>
                                                          </w:divBdr>
                                                          <w:divsChild>
                                                            <w:div w:id="1755055867">
                                                              <w:marLeft w:val="0"/>
                                                              <w:marRight w:val="0"/>
                                                              <w:marTop w:val="0"/>
                                                              <w:marBottom w:val="0"/>
                                                              <w:divBdr>
                                                                <w:top w:val="none" w:sz="0" w:space="0" w:color="auto"/>
                                                                <w:left w:val="none" w:sz="0" w:space="0" w:color="auto"/>
                                                                <w:bottom w:val="none" w:sz="0" w:space="0" w:color="auto"/>
                                                                <w:right w:val="none" w:sz="0" w:space="0" w:color="auto"/>
                                                              </w:divBdr>
                                                              <w:divsChild>
                                                                <w:div w:id="188841085">
                                                                  <w:marLeft w:val="0"/>
                                                                  <w:marRight w:val="0"/>
                                                                  <w:marTop w:val="0"/>
                                                                  <w:marBottom w:val="0"/>
                                                                  <w:divBdr>
                                                                    <w:top w:val="none" w:sz="0" w:space="0" w:color="auto"/>
                                                                    <w:left w:val="none" w:sz="0" w:space="0" w:color="auto"/>
                                                                    <w:bottom w:val="none" w:sz="0" w:space="0" w:color="auto"/>
                                                                    <w:right w:val="none" w:sz="0" w:space="0" w:color="auto"/>
                                                                  </w:divBdr>
                                                                  <w:divsChild>
                                                                    <w:div w:id="1955551287">
                                                                      <w:marLeft w:val="0"/>
                                                                      <w:marRight w:val="0"/>
                                                                      <w:marTop w:val="0"/>
                                                                      <w:marBottom w:val="0"/>
                                                                      <w:divBdr>
                                                                        <w:top w:val="none" w:sz="0" w:space="0" w:color="auto"/>
                                                                        <w:left w:val="none" w:sz="0" w:space="0" w:color="auto"/>
                                                                        <w:bottom w:val="none" w:sz="0" w:space="0" w:color="auto"/>
                                                                        <w:right w:val="none" w:sz="0" w:space="0" w:color="auto"/>
                                                                      </w:divBdr>
                                                                    </w:div>
                                                                    <w:div w:id="8750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546021">
      <w:bodyDiv w:val="1"/>
      <w:marLeft w:val="0"/>
      <w:marRight w:val="0"/>
      <w:marTop w:val="0"/>
      <w:marBottom w:val="0"/>
      <w:divBdr>
        <w:top w:val="none" w:sz="0" w:space="0" w:color="auto"/>
        <w:left w:val="none" w:sz="0" w:space="0" w:color="auto"/>
        <w:bottom w:val="none" w:sz="0" w:space="0" w:color="auto"/>
        <w:right w:val="none" w:sz="0" w:space="0" w:color="auto"/>
      </w:divBdr>
      <w:divsChild>
        <w:div w:id="1124423269">
          <w:marLeft w:val="0"/>
          <w:marRight w:val="0"/>
          <w:marTop w:val="0"/>
          <w:marBottom w:val="0"/>
          <w:divBdr>
            <w:top w:val="none" w:sz="0" w:space="0" w:color="auto"/>
            <w:left w:val="none" w:sz="0" w:space="0" w:color="auto"/>
            <w:bottom w:val="none" w:sz="0" w:space="0" w:color="auto"/>
            <w:right w:val="none" w:sz="0" w:space="0" w:color="auto"/>
          </w:divBdr>
          <w:divsChild>
            <w:div w:id="423846046">
              <w:marLeft w:val="0"/>
              <w:marRight w:val="0"/>
              <w:marTop w:val="0"/>
              <w:marBottom w:val="0"/>
              <w:divBdr>
                <w:top w:val="none" w:sz="0" w:space="0" w:color="auto"/>
                <w:left w:val="none" w:sz="0" w:space="0" w:color="auto"/>
                <w:bottom w:val="none" w:sz="0" w:space="0" w:color="auto"/>
                <w:right w:val="none" w:sz="0" w:space="0" w:color="auto"/>
              </w:divBdr>
              <w:divsChild>
                <w:div w:id="325599624">
                  <w:marLeft w:val="0"/>
                  <w:marRight w:val="0"/>
                  <w:marTop w:val="0"/>
                  <w:marBottom w:val="0"/>
                  <w:divBdr>
                    <w:top w:val="none" w:sz="0" w:space="0" w:color="auto"/>
                    <w:left w:val="none" w:sz="0" w:space="0" w:color="auto"/>
                    <w:bottom w:val="none" w:sz="0" w:space="0" w:color="auto"/>
                    <w:right w:val="none" w:sz="0" w:space="0" w:color="auto"/>
                  </w:divBdr>
                  <w:divsChild>
                    <w:div w:id="56245666">
                      <w:marLeft w:val="0"/>
                      <w:marRight w:val="0"/>
                      <w:marTop w:val="0"/>
                      <w:marBottom w:val="0"/>
                      <w:divBdr>
                        <w:top w:val="none" w:sz="0" w:space="0" w:color="auto"/>
                        <w:left w:val="none" w:sz="0" w:space="0" w:color="auto"/>
                        <w:bottom w:val="none" w:sz="0" w:space="0" w:color="auto"/>
                        <w:right w:val="none" w:sz="0" w:space="0" w:color="auto"/>
                      </w:divBdr>
                      <w:divsChild>
                        <w:div w:id="1693189000">
                          <w:marLeft w:val="0"/>
                          <w:marRight w:val="0"/>
                          <w:marTop w:val="0"/>
                          <w:marBottom w:val="0"/>
                          <w:divBdr>
                            <w:top w:val="none" w:sz="0" w:space="0" w:color="auto"/>
                            <w:left w:val="none" w:sz="0" w:space="0" w:color="auto"/>
                            <w:bottom w:val="none" w:sz="0" w:space="0" w:color="auto"/>
                            <w:right w:val="none" w:sz="0" w:space="0" w:color="auto"/>
                          </w:divBdr>
                          <w:divsChild>
                            <w:div w:id="1199050639">
                              <w:marLeft w:val="-225"/>
                              <w:marRight w:val="-225"/>
                              <w:marTop w:val="0"/>
                              <w:marBottom w:val="0"/>
                              <w:divBdr>
                                <w:top w:val="none" w:sz="0" w:space="0" w:color="auto"/>
                                <w:left w:val="none" w:sz="0" w:space="0" w:color="auto"/>
                                <w:bottom w:val="none" w:sz="0" w:space="0" w:color="auto"/>
                                <w:right w:val="none" w:sz="0" w:space="0" w:color="auto"/>
                              </w:divBdr>
                              <w:divsChild>
                                <w:div w:id="925500395">
                                  <w:marLeft w:val="0"/>
                                  <w:marRight w:val="0"/>
                                  <w:marTop w:val="0"/>
                                  <w:marBottom w:val="0"/>
                                  <w:divBdr>
                                    <w:top w:val="none" w:sz="0" w:space="0" w:color="auto"/>
                                    <w:left w:val="none" w:sz="0" w:space="0" w:color="auto"/>
                                    <w:bottom w:val="none" w:sz="0" w:space="0" w:color="auto"/>
                                    <w:right w:val="none" w:sz="0" w:space="0" w:color="auto"/>
                                  </w:divBdr>
                                  <w:divsChild>
                                    <w:div w:id="2001617035">
                                      <w:marLeft w:val="-225"/>
                                      <w:marRight w:val="-225"/>
                                      <w:marTop w:val="0"/>
                                      <w:marBottom w:val="0"/>
                                      <w:divBdr>
                                        <w:top w:val="none" w:sz="0" w:space="0" w:color="auto"/>
                                        <w:left w:val="none" w:sz="0" w:space="0" w:color="auto"/>
                                        <w:bottom w:val="none" w:sz="0" w:space="0" w:color="auto"/>
                                        <w:right w:val="none" w:sz="0" w:space="0" w:color="auto"/>
                                      </w:divBdr>
                                      <w:divsChild>
                                        <w:div w:id="1521041592">
                                          <w:marLeft w:val="0"/>
                                          <w:marRight w:val="0"/>
                                          <w:marTop w:val="0"/>
                                          <w:marBottom w:val="0"/>
                                          <w:divBdr>
                                            <w:top w:val="none" w:sz="0" w:space="0" w:color="auto"/>
                                            <w:left w:val="none" w:sz="0" w:space="0" w:color="auto"/>
                                            <w:bottom w:val="none" w:sz="0" w:space="0" w:color="auto"/>
                                            <w:right w:val="none" w:sz="0" w:space="0" w:color="auto"/>
                                          </w:divBdr>
                                          <w:divsChild>
                                            <w:div w:id="497616638">
                                              <w:marLeft w:val="0"/>
                                              <w:marRight w:val="0"/>
                                              <w:marTop w:val="0"/>
                                              <w:marBottom w:val="0"/>
                                              <w:divBdr>
                                                <w:top w:val="none" w:sz="0" w:space="0" w:color="auto"/>
                                                <w:left w:val="none" w:sz="0" w:space="0" w:color="auto"/>
                                                <w:bottom w:val="none" w:sz="0" w:space="0" w:color="auto"/>
                                                <w:right w:val="none" w:sz="0" w:space="0" w:color="auto"/>
                                              </w:divBdr>
                                              <w:divsChild>
                                                <w:div w:id="869949024">
                                                  <w:marLeft w:val="-225"/>
                                                  <w:marRight w:val="-225"/>
                                                  <w:marTop w:val="0"/>
                                                  <w:marBottom w:val="0"/>
                                                  <w:divBdr>
                                                    <w:top w:val="none" w:sz="0" w:space="0" w:color="auto"/>
                                                    <w:left w:val="none" w:sz="0" w:space="0" w:color="auto"/>
                                                    <w:bottom w:val="none" w:sz="0" w:space="0" w:color="auto"/>
                                                    <w:right w:val="none" w:sz="0" w:space="0" w:color="auto"/>
                                                  </w:divBdr>
                                                  <w:divsChild>
                                                    <w:div w:id="1479497292">
                                                      <w:marLeft w:val="0"/>
                                                      <w:marRight w:val="0"/>
                                                      <w:marTop w:val="0"/>
                                                      <w:marBottom w:val="0"/>
                                                      <w:divBdr>
                                                        <w:top w:val="none" w:sz="0" w:space="0" w:color="auto"/>
                                                        <w:left w:val="none" w:sz="0" w:space="0" w:color="auto"/>
                                                        <w:bottom w:val="none" w:sz="0" w:space="0" w:color="auto"/>
                                                        <w:right w:val="none" w:sz="0" w:space="0" w:color="auto"/>
                                                      </w:divBdr>
                                                      <w:divsChild>
                                                        <w:div w:id="332688407">
                                                          <w:marLeft w:val="-225"/>
                                                          <w:marRight w:val="-225"/>
                                                          <w:marTop w:val="0"/>
                                                          <w:marBottom w:val="0"/>
                                                          <w:divBdr>
                                                            <w:top w:val="none" w:sz="0" w:space="0" w:color="auto"/>
                                                            <w:left w:val="none" w:sz="0" w:space="0" w:color="auto"/>
                                                            <w:bottom w:val="none" w:sz="0" w:space="0" w:color="auto"/>
                                                            <w:right w:val="none" w:sz="0" w:space="0" w:color="auto"/>
                                                          </w:divBdr>
                                                          <w:divsChild>
                                                            <w:div w:id="815562735">
                                                              <w:marLeft w:val="0"/>
                                                              <w:marRight w:val="0"/>
                                                              <w:marTop w:val="0"/>
                                                              <w:marBottom w:val="0"/>
                                                              <w:divBdr>
                                                                <w:top w:val="none" w:sz="0" w:space="0" w:color="auto"/>
                                                                <w:left w:val="none" w:sz="0" w:space="0" w:color="auto"/>
                                                                <w:bottom w:val="none" w:sz="0" w:space="0" w:color="auto"/>
                                                                <w:right w:val="none" w:sz="0" w:space="0" w:color="auto"/>
                                                              </w:divBdr>
                                                              <w:divsChild>
                                                                <w:div w:id="1813450714">
                                                                  <w:marLeft w:val="0"/>
                                                                  <w:marRight w:val="0"/>
                                                                  <w:marTop w:val="0"/>
                                                                  <w:marBottom w:val="0"/>
                                                                  <w:divBdr>
                                                                    <w:top w:val="none" w:sz="0" w:space="0" w:color="auto"/>
                                                                    <w:left w:val="none" w:sz="0" w:space="0" w:color="auto"/>
                                                                    <w:bottom w:val="none" w:sz="0" w:space="0" w:color="auto"/>
                                                                    <w:right w:val="none" w:sz="0" w:space="0" w:color="auto"/>
                                                                  </w:divBdr>
                                                                  <w:divsChild>
                                                                    <w:div w:id="1782532520">
                                                                      <w:marLeft w:val="0"/>
                                                                      <w:marRight w:val="0"/>
                                                                      <w:marTop w:val="0"/>
                                                                      <w:marBottom w:val="0"/>
                                                                      <w:divBdr>
                                                                        <w:top w:val="none" w:sz="0" w:space="0" w:color="auto"/>
                                                                        <w:left w:val="none" w:sz="0" w:space="0" w:color="auto"/>
                                                                        <w:bottom w:val="none" w:sz="0" w:space="0" w:color="auto"/>
                                                                        <w:right w:val="none" w:sz="0" w:space="0" w:color="auto"/>
                                                                      </w:divBdr>
                                                                    </w:div>
                                                                    <w:div w:id="9176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emf"/><Relationship Id="rId39" Type="http://schemas.openxmlformats.org/officeDocument/2006/relationships/footer" Target="footer8.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17.emf"/><Relationship Id="rId47" Type="http://schemas.openxmlformats.org/officeDocument/2006/relationships/header" Target="header12.xml"/><Relationship Id="rId50" Type="http://schemas.openxmlformats.org/officeDocument/2006/relationships/image" Target="media/image19.emf"/><Relationship Id="rId55" Type="http://schemas.openxmlformats.org/officeDocument/2006/relationships/footer" Target="footer13.xml"/><Relationship Id="rId63" Type="http://schemas.openxmlformats.org/officeDocument/2006/relationships/footer" Target="footer17.xml"/><Relationship Id="rId68" Type="http://schemas.openxmlformats.org/officeDocument/2006/relationships/header" Target="header20.xml"/><Relationship Id="rId76"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10.emf"/><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0.xml"/><Relationship Id="rId53" Type="http://schemas.openxmlformats.org/officeDocument/2006/relationships/header" Target="header13.xml"/><Relationship Id="rId58" Type="http://schemas.openxmlformats.org/officeDocument/2006/relationships/footer" Target="footer15.xml"/><Relationship Id="rId66" Type="http://schemas.openxmlformats.org/officeDocument/2006/relationships/image" Target="media/image23.png"/><Relationship Id="rId74" Type="http://schemas.openxmlformats.org/officeDocument/2006/relationships/header" Target="header22.xml"/><Relationship Id="rId79"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2.emf"/><Relationship Id="rId44" Type="http://schemas.openxmlformats.org/officeDocument/2006/relationships/header" Target="header11.xml"/><Relationship Id="rId52" Type="http://schemas.openxmlformats.org/officeDocument/2006/relationships/image" Target="media/image21.emf"/><Relationship Id="rId60" Type="http://schemas.openxmlformats.org/officeDocument/2006/relationships/header" Target="header16.xml"/><Relationship Id="rId65" Type="http://schemas.openxmlformats.org/officeDocument/2006/relationships/footer" Target="footer18.xml"/><Relationship Id="rId73" Type="http://schemas.openxmlformats.org/officeDocument/2006/relationships/image" Target="media/image24.emf"/><Relationship Id="rId78" Type="http://schemas.openxmlformats.org/officeDocument/2006/relationships/header" Target="header2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10.xml"/><Relationship Id="rId48" Type="http://schemas.openxmlformats.org/officeDocument/2006/relationships/footer" Target="footer12.xml"/><Relationship Id="rId56" Type="http://schemas.openxmlformats.org/officeDocument/2006/relationships/footer" Target="footer14.xml"/><Relationship Id="rId64" Type="http://schemas.openxmlformats.org/officeDocument/2006/relationships/header" Target="header18.xml"/><Relationship Id="rId69" Type="http://schemas.openxmlformats.org/officeDocument/2006/relationships/footer" Target="footer19.xml"/><Relationship Id="rId77" Type="http://schemas.openxmlformats.org/officeDocument/2006/relationships/footer" Target="footer23.xml"/><Relationship Id="rId8" Type="http://schemas.openxmlformats.org/officeDocument/2006/relationships/image" Target="media/image1.emf"/><Relationship Id="rId51" Type="http://schemas.openxmlformats.org/officeDocument/2006/relationships/image" Target="media/image20.emf"/><Relationship Id="rId72" Type="http://schemas.openxmlformats.org/officeDocument/2006/relationships/footer" Target="footer21.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footer" Target="footer7.xml"/><Relationship Id="rId46" Type="http://schemas.openxmlformats.org/officeDocument/2006/relationships/footer" Target="footer11.xml"/><Relationship Id="rId59" Type="http://schemas.openxmlformats.org/officeDocument/2006/relationships/image" Target="media/image22.emf"/><Relationship Id="rId67" Type="http://schemas.openxmlformats.org/officeDocument/2006/relationships/header" Target="header19.xml"/><Relationship Id="rId20" Type="http://schemas.openxmlformats.org/officeDocument/2006/relationships/footer" Target="footer6.xml"/><Relationship Id="rId41" Type="http://schemas.openxmlformats.org/officeDocument/2006/relationships/footer" Target="footer9.xml"/><Relationship Id="rId54" Type="http://schemas.openxmlformats.org/officeDocument/2006/relationships/header" Target="header14.xml"/><Relationship Id="rId62" Type="http://schemas.openxmlformats.org/officeDocument/2006/relationships/footer" Target="footer16.xml"/><Relationship Id="rId70" Type="http://schemas.openxmlformats.org/officeDocument/2006/relationships/footer" Target="footer20.xml"/><Relationship Id="rId75" Type="http://schemas.openxmlformats.org/officeDocument/2006/relationships/header" Target="header23.xml"/><Relationship Id="rId91"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7.xml"/><Relationship Id="rId49" Type="http://schemas.openxmlformats.org/officeDocument/2006/relationships/image" Target="media/image18.emf"/><Relationship Id="rId5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2017-07-01T15:30:00Z</dcterms:created>
  <dcterms:modified xsi:type="dcterms:W3CDTF">2017-07-01T15:30:00Z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